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7BB" w:rsidP="00017E60" w:rsidRDefault="004742D6" w14:paraId="0BEE6C83" w14:textId="6ECBF44A">
      <w:pPr>
        <w:spacing w:after="240"/>
        <w:jc w:val="center"/>
      </w:pPr>
      <w:r w:rsidRPr="00A013E0">
        <w:t xml:space="preserve">Most Supplemental </w:t>
      </w:r>
      <w:r w:rsidR="0051371C">
        <w:t xml:space="preserve">M&amp;A </w:t>
      </w:r>
      <w:r w:rsidRPr="00A013E0">
        <w:t xml:space="preserve">Disclosures </w:t>
      </w:r>
      <w:r w:rsidRPr="00A013E0" w:rsidR="003D2A2A">
        <w:t>Aren’t Material</w:t>
      </w:r>
    </w:p>
    <w:p w:rsidRPr="00B04CF0" w:rsidR="00B04CF0" w:rsidP="00B04CF0" w:rsidRDefault="00B04CF0" w14:paraId="50547FEE" w14:textId="5B311887">
      <w:pPr>
        <w:spacing w:after="240"/>
        <w:rPr>
          <w:i/>
          <w:iCs/>
        </w:rPr>
      </w:pPr>
      <w:r w:rsidRPr="00B04CF0">
        <w:rPr>
          <w:i/>
          <w:iCs/>
        </w:rPr>
        <w:tab/>
        <w:t>This article is the sequel to the author</w:t>
      </w:r>
      <w:r w:rsidR="0000743F">
        <w:rPr>
          <w:i/>
          <w:iCs/>
        </w:rPr>
        <w:t>’</w:t>
      </w:r>
      <w:r w:rsidRPr="00B04CF0">
        <w:rPr>
          <w:i/>
          <w:iCs/>
        </w:rPr>
        <w:t xml:space="preserve">s previous articles entitled </w:t>
      </w:r>
      <w:hyperlink w:history="1" r:id="rId8">
        <w:r w:rsidRPr="00B04CF0">
          <w:rPr>
            <w:rStyle w:val="Hyperlink"/>
            <w:i/>
            <w:iCs/>
          </w:rPr>
          <w:t>Merger Agre</w:t>
        </w:r>
        <w:r w:rsidRPr="00B04CF0">
          <w:rPr>
            <w:rStyle w:val="Hyperlink"/>
            <w:i/>
            <w:iCs/>
          </w:rPr>
          <w:t>e</w:t>
        </w:r>
        <w:r w:rsidRPr="00B04CF0">
          <w:rPr>
            <w:rStyle w:val="Hyperlink"/>
            <w:i/>
            <w:iCs/>
          </w:rPr>
          <w:t>ment</w:t>
        </w:r>
        <w:r w:rsidRPr="00B04CF0">
          <w:rPr>
            <w:rStyle w:val="Hyperlink"/>
            <w:i/>
            <w:iCs/>
          </w:rPr>
          <w:t>s</w:t>
        </w:r>
        <w:r w:rsidRPr="00B04CF0">
          <w:rPr>
            <w:rStyle w:val="Hyperlink"/>
            <w:i/>
            <w:iCs/>
          </w:rPr>
          <w:t xml:space="preserve"> are Too Long</w:t>
        </w:r>
      </w:hyperlink>
      <w:r w:rsidRPr="00B04CF0">
        <w:rPr>
          <w:i/>
          <w:iCs/>
        </w:rPr>
        <w:t xml:space="preserve"> and </w:t>
      </w:r>
      <w:hyperlink w:history="1" r:id="rId9">
        <w:r w:rsidRPr="00B04CF0">
          <w:rPr>
            <w:rStyle w:val="Hyperlink"/>
            <w:i/>
            <w:iCs/>
          </w:rPr>
          <w:t xml:space="preserve">Disclosure Schedules are a </w:t>
        </w:r>
        <w:r w:rsidRPr="00B04CF0">
          <w:rPr>
            <w:rStyle w:val="Hyperlink"/>
            <w:i/>
            <w:iCs/>
          </w:rPr>
          <w:t>W</w:t>
        </w:r>
        <w:r w:rsidRPr="00B04CF0">
          <w:rPr>
            <w:rStyle w:val="Hyperlink"/>
            <w:i/>
            <w:iCs/>
          </w:rPr>
          <w:t>ast</w:t>
        </w:r>
        <w:r w:rsidRPr="00B04CF0">
          <w:rPr>
            <w:rStyle w:val="Hyperlink"/>
            <w:i/>
            <w:iCs/>
          </w:rPr>
          <w:t>e</w:t>
        </w:r>
        <w:r w:rsidRPr="00B04CF0">
          <w:rPr>
            <w:rStyle w:val="Hyperlink"/>
            <w:i/>
            <w:iCs/>
          </w:rPr>
          <w:t xml:space="preserve"> of Money</w:t>
        </w:r>
      </w:hyperlink>
      <w:r w:rsidRPr="00B04CF0">
        <w:rPr>
          <w:i/>
          <w:iCs/>
        </w:rPr>
        <w:t>.</w:t>
      </w:r>
    </w:p>
    <w:p w:rsidRPr="00997F58" w:rsidR="00347062" w:rsidP="00672B54" w:rsidRDefault="00A81EFF" w14:paraId="10146903" w14:textId="2B872FDB">
      <w:pPr>
        <w:spacing w:after="240"/>
        <w:ind w:firstLine="720"/>
        <w:jc w:val="both"/>
      </w:pPr>
      <w:r w:rsidRPr="00997F58">
        <w:t xml:space="preserve">When </w:t>
      </w:r>
      <w:r w:rsidR="00812492">
        <w:t>transaction parties draft</w:t>
      </w:r>
      <w:r w:rsidR="0051371C">
        <w:t xml:space="preserve"> </w:t>
      </w:r>
      <w:r w:rsidR="007B7E02">
        <w:t>M&amp;A</w:t>
      </w:r>
      <w:r w:rsidRPr="00997F58">
        <w:t xml:space="preserve"> </w:t>
      </w:r>
      <w:r w:rsidR="004D6CF6">
        <w:t>disclosures</w:t>
      </w:r>
      <w:r w:rsidRPr="00997F58">
        <w:t xml:space="preserve">, </w:t>
      </w:r>
      <w:r w:rsidR="00B12998">
        <w:t>they can</w:t>
      </w:r>
      <w:r w:rsidRPr="00997F58">
        <w:t xml:space="preserve"> almost always</w:t>
      </w:r>
      <w:r w:rsidR="00B12998">
        <w:t xml:space="preserve"> add</w:t>
      </w:r>
      <w:r w:rsidRPr="00997F58">
        <w:t xml:space="preserve"> more</w:t>
      </w:r>
      <w:r w:rsidR="00812492">
        <w:t xml:space="preserve"> </w:t>
      </w:r>
      <w:r w:rsidR="0051371C">
        <w:t>detail.  They</w:t>
      </w:r>
      <w:r w:rsidRPr="00997F58" w:rsidR="0051371C">
        <w:t xml:space="preserve"> </w:t>
      </w:r>
      <w:r w:rsidR="0051371C">
        <w:t xml:space="preserve">have to </w:t>
      </w:r>
      <w:r w:rsidRPr="00997F58" w:rsidR="0051371C">
        <w:t>make judgments about what information would matter to a reasonable stockholder</w:t>
      </w:r>
      <w:r w:rsidRPr="00997F58">
        <w:t xml:space="preserve">.  </w:t>
      </w:r>
      <w:r w:rsidR="0051371C">
        <w:t xml:space="preserve">Many months of negotiations may get summarized in a “highlight reel” of just a few pages </w:t>
      </w:r>
      <w:r w:rsidR="00CC43B0">
        <w:t>describing the background of the transaction</w:t>
      </w:r>
      <w:r w:rsidR="0051371C">
        <w:t>, and many spreadsheets worth of calculations and assumptions underlying financial projections may get presented in a few tables.</w:t>
      </w:r>
    </w:p>
    <w:p w:rsidR="00354166" w:rsidP="006C7F2F" w:rsidRDefault="00354166" w14:paraId="12DC1E27" w14:textId="34A5F365">
      <w:pPr>
        <w:spacing w:after="240"/>
        <w:ind w:firstLine="720"/>
        <w:jc w:val="both"/>
      </w:pPr>
      <w:r>
        <w:t xml:space="preserve">In recent years, a relatively small segment of the plaintiffs’ bar has </w:t>
      </w:r>
      <w:r w:rsidR="0051371C">
        <w:t xml:space="preserve">made it their business to seek </w:t>
      </w:r>
      <w:r>
        <w:t>additional disclosure</w:t>
      </w:r>
      <w:r w:rsidR="0051371C">
        <w:t>s from merging parties</w:t>
      </w:r>
      <w:r w:rsidR="00006491">
        <w:t>.</w:t>
      </w:r>
      <w:r w:rsidR="006C7F2F">
        <w:t xml:space="preserve">  </w:t>
      </w:r>
      <w:r w:rsidRPr="006C7F2F" w:rsidR="006C7F2F">
        <w:t xml:space="preserve">We looked at </w:t>
      </w:r>
      <w:r w:rsidR="00DE77F2">
        <w:t xml:space="preserve">a sample of </w:t>
      </w:r>
      <w:r w:rsidRPr="006C7F2F" w:rsidR="006C7F2F">
        <w:t xml:space="preserve">51 of the largest all-cash deals </w:t>
      </w:r>
      <w:r w:rsidR="008C0487">
        <w:t xml:space="preserve">announced between January 1, 2024 and </w:t>
      </w:r>
      <w:r w:rsidR="00355D4D">
        <w:t>May 31</w:t>
      </w:r>
      <w:r w:rsidR="008C0487">
        <w:t>,</w:t>
      </w:r>
      <w:r w:rsidR="005B0620">
        <w:t> </w:t>
      </w:r>
      <w:r w:rsidR="008C0487">
        <w:t xml:space="preserve">2026 </w:t>
      </w:r>
      <w:r w:rsidRPr="006C7F2F" w:rsidR="006C7F2F">
        <w:t xml:space="preserve">that had supplemental disclosures. </w:t>
      </w:r>
      <w:r w:rsidR="006C7F2F">
        <w:t xml:space="preserve"> </w:t>
      </w:r>
      <w:r w:rsidRPr="006C7F2F" w:rsidR="006C7F2F">
        <w:t xml:space="preserve">A handful of firms brought most of the </w:t>
      </w:r>
      <w:r w:rsidR="0051371C">
        <w:t xml:space="preserve">publicized </w:t>
      </w:r>
      <w:r w:rsidRPr="006C7F2F" w:rsidR="006C7F2F">
        <w:t>disclosure challenges</w:t>
      </w:r>
      <w:r w:rsidR="0051371C">
        <w:t xml:space="preserve"> in that time period</w:t>
      </w:r>
      <w:r w:rsidRPr="006C7F2F" w:rsidR="006C7F2F">
        <w:t>.</w:t>
      </w:r>
    </w:p>
    <w:p w:rsidR="00E673CC" w:rsidP="00D00930" w:rsidRDefault="002458CB" w14:paraId="4247F381" w14:textId="4B3F2112">
      <w:pPr>
        <w:spacing w:after="240"/>
        <w:jc w:val="both"/>
      </w:pPr>
      <w:r>
        <w:rPr>
          <w:noProof/>
        </w:rPr>
        <w:drawing>
          <wp:inline distT="0" distB="0" distL="0" distR="0" wp14:anchorId="4FE494C4" wp14:editId="27F046D8">
            <wp:extent cx="5943600" cy="2751152"/>
            <wp:effectExtent l="0" t="0" r="0" b="11430"/>
            <wp:docPr id="363209326" name="Chart 1" descr="" title="">
              <a:extLst xmlns:a="http://schemas.openxmlformats.org/drawingml/2006/main">
                <a:ext uri="{FF2B5EF4-FFF2-40B4-BE49-F238E27FC236}">
                  <a16:creationId xmlns:a16="http://schemas.microsoft.com/office/drawing/2014/main" id="{1B140BAC-4E77-C214-3121-CECC97A30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180E" w:rsidP="000906A1" w:rsidRDefault="00533A89" w14:paraId="303F6BD6" w14:textId="796C83D2">
      <w:pPr>
        <w:spacing w:after="240"/>
        <w:ind w:firstLine="720"/>
        <w:jc w:val="both"/>
      </w:pPr>
      <w:r>
        <w:t xml:space="preserve">The complaints themselves are often </w:t>
      </w:r>
      <w:r w:rsidR="0051371C">
        <w:t>cookie-cutter</w:t>
      </w:r>
      <w:r>
        <w:t xml:space="preserve">.  Most make largely similar assertions of inadequate disclosure centered on a few recurring subjects.  For example, </w:t>
      </w:r>
      <w:r w:rsidR="00FC36FF">
        <w:t>nearly half</w:t>
      </w:r>
      <w:r w:rsidR="00B55A28">
        <w:t xml:space="preserve"> of the alleged disclosure deficiencies </w:t>
      </w:r>
      <w:r w:rsidR="00A013E0">
        <w:t xml:space="preserve">in </w:t>
      </w:r>
      <w:r w:rsidR="00A043B3">
        <w:t>that same</w:t>
      </w:r>
      <w:r w:rsidR="00A013E0">
        <w:t xml:space="preserve"> 51-deal sample </w:t>
      </w:r>
      <w:r w:rsidR="00B55A28">
        <w:t>concerned financial-advisor analyses or management projections.</w:t>
      </w:r>
    </w:p>
    <w:p w:rsidR="00FC36FF" w:rsidP="00FC36FF" w:rsidRDefault="00FC36FF" w14:paraId="3B3FF087" w14:textId="21793E95">
      <w:pPr>
        <w:spacing w:after="240"/>
        <w:jc w:val="both"/>
      </w:pPr>
      <w:r>
        <w:rPr>
          <w:noProof/>
        </w:rPr>
        <w:lastRenderedPageBreak/>
        <w:drawing>
          <wp:inline distT="0" distB="0" distL="0" distR="0" wp14:anchorId="7180A0CE" wp14:editId="6CD1851D">
            <wp:extent cx="5943600" cy="3200400"/>
            <wp:effectExtent l="0" t="0" r="0" b="0"/>
            <wp:docPr id="828553258" name="Chart 1" descr="" title="">
              <a:extLst xmlns:a="http://schemas.openxmlformats.org/drawingml/2006/main">
                <a:ext uri="{FF2B5EF4-FFF2-40B4-BE49-F238E27FC236}">
                  <a16:creationId xmlns:a16="http://schemas.microsoft.com/office/drawing/2014/main" id="{52252878-EDA0-E54D-85CD-74C770E56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1371C" w:rsidP="00672B54" w:rsidRDefault="003D5ABB" w14:paraId="221CCB72" w14:textId="561B0DF5">
      <w:pPr>
        <w:spacing w:after="240"/>
        <w:ind w:firstLine="720"/>
        <w:jc w:val="both"/>
      </w:pPr>
      <w:r>
        <w:t xml:space="preserve">That concentration is unsurprising.  </w:t>
      </w:r>
      <w:r w:rsidR="001E50FC">
        <w:t>Financial</w:t>
      </w:r>
      <w:r w:rsidR="00A64972">
        <w:t>-</w:t>
      </w:r>
      <w:r w:rsidR="001E50FC">
        <w:t xml:space="preserve">advisor analyses and management projections are areas in which additional inputs, assumptions and intermediate calculations can be disclosed at </w:t>
      </w:r>
      <w:r w:rsidR="0051371C">
        <w:t>varying</w:t>
      </w:r>
      <w:r w:rsidR="001E50FC">
        <w:t xml:space="preserve"> level</w:t>
      </w:r>
      <w:r w:rsidR="0051371C">
        <w:t>s</w:t>
      </w:r>
      <w:r w:rsidR="001E50FC">
        <w:t xml:space="preserve"> of granularity.  </w:t>
      </w:r>
      <w:r w:rsidR="0058512D">
        <w:t>T</w:t>
      </w:r>
      <w:r w:rsidR="001E50FC">
        <w:t xml:space="preserve">hat makes </w:t>
      </w:r>
      <w:r w:rsidR="00923D11">
        <w:t>them</w:t>
      </w:r>
      <w:r w:rsidR="001E50FC">
        <w:t xml:space="preserve"> natural targets for disclosure challenges.  But the existence of an omitted input or </w:t>
      </w:r>
      <w:r w:rsidR="00AC6E4F">
        <w:t xml:space="preserve">a </w:t>
      </w:r>
      <w:r w:rsidR="001E50FC">
        <w:t>piece of banker math</w:t>
      </w:r>
      <w:r>
        <w:t>, without more,</w:t>
      </w:r>
      <w:r w:rsidR="00145562">
        <w:t xml:space="preserve"> </w:t>
      </w:r>
      <w:r w:rsidR="001E50FC">
        <w:t>says little about whether the omission would matter to a reasonable stockholder.</w:t>
      </w:r>
      <w:r w:rsidR="00923D11">
        <w:t xml:space="preserve">  Same goes for </w:t>
      </w:r>
      <w:r w:rsidR="00145562">
        <w:t xml:space="preserve">conversations.  There is always another </w:t>
      </w:r>
      <w:r w:rsidR="0051371C">
        <w:t xml:space="preserve">facet of an </w:t>
      </w:r>
      <w:r w:rsidR="00145562">
        <w:t>interaction that could be described in greater detail.</w:t>
      </w:r>
    </w:p>
    <w:p w:rsidRPr="00997F58" w:rsidR="00E673CC" w:rsidP="0051371C" w:rsidRDefault="0051371C" w14:paraId="5212B7E9" w14:textId="794DAA50">
      <w:pPr>
        <w:spacing w:after="240"/>
        <w:ind w:firstLine="720"/>
        <w:jc w:val="both"/>
      </w:pPr>
      <w:r>
        <w:t xml:space="preserve">As a legal matter, </w:t>
      </w:r>
      <w:r w:rsidR="00B01F08">
        <w:t>play-by-play or overly</w:t>
      </w:r>
      <w:r w:rsidR="0036535B">
        <w:t xml:space="preserve"> </w:t>
      </w:r>
      <w:r w:rsidR="00B01F08">
        <w:t>granular</w:t>
      </w:r>
      <w:r>
        <w:t xml:space="preserve"> </w:t>
      </w:r>
      <w:r w:rsidR="00222129">
        <w:t xml:space="preserve">disclosure </w:t>
      </w:r>
      <w:r>
        <w:t xml:space="preserve">is </w:t>
      </w:r>
      <w:r w:rsidR="00222129">
        <w:t>not the goal</w:t>
      </w:r>
      <w:r>
        <w:t>.  The law recognizes that</w:t>
      </w:r>
      <w:r w:rsidR="00222129">
        <w:t xml:space="preserve"> burying stockholders in immaterial information does not help them make better decisions.</w:t>
      </w:r>
      <w:r>
        <w:t xml:space="preserve">  </w:t>
      </w:r>
      <w:r w:rsidR="00222129">
        <w:t>Yet</w:t>
      </w:r>
      <w:r>
        <w:t>,</w:t>
      </w:r>
      <w:r w:rsidR="00222129">
        <w:t xml:space="preserve"> i</w:t>
      </w:r>
      <w:r w:rsidR="008263A7">
        <w:t>n</w:t>
      </w:r>
      <w:r w:rsidR="00985AEA">
        <w:t xml:space="preserve"> response to disclosure challenges</w:t>
      </w:r>
      <w:r w:rsidRPr="00997F58" w:rsidR="00BD2D4B">
        <w:t xml:space="preserve">, </w:t>
      </w:r>
      <w:r w:rsidR="00985AEA">
        <w:t xml:space="preserve">transaction </w:t>
      </w:r>
      <w:r w:rsidR="00BD2D4B">
        <w:t xml:space="preserve">parties </w:t>
      </w:r>
      <w:r w:rsidR="008263A7">
        <w:t xml:space="preserve">often </w:t>
      </w:r>
      <w:r w:rsidRPr="00997F58" w:rsidR="00BD2D4B">
        <w:t>offer up supplemental disclosure</w:t>
      </w:r>
      <w:r w:rsidR="00BD2D4B">
        <w:t>s (and pay a mootness fee) even when the additional information is obviously immaterial.  Dealmakers may</w:t>
      </w:r>
      <w:r w:rsidRPr="00997F58" w:rsidR="00BD2D4B">
        <w:t xml:space="preserve"> advise their clients </w:t>
      </w:r>
      <w:r w:rsidR="00BD2D4B">
        <w:t xml:space="preserve">that doing so is the path of least resistance.  </w:t>
      </w:r>
      <w:r w:rsidRPr="00997F58" w:rsidR="00BD2D4B">
        <w:t xml:space="preserve">After all, </w:t>
      </w:r>
      <w:r w:rsidR="00BD2D4B">
        <w:t xml:space="preserve">litigating </w:t>
      </w:r>
      <w:r w:rsidRPr="00997F58" w:rsidR="00BD2D4B">
        <w:t xml:space="preserve">a disclosure challenge can consume management’s time and </w:t>
      </w:r>
      <w:r>
        <w:t xml:space="preserve">risk </w:t>
      </w:r>
      <w:r w:rsidR="00BD2D4B">
        <w:t>delay</w:t>
      </w:r>
      <w:r>
        <w:t>ing</w:t>
      </w:r>
      <w:r w:rsidRPr="00997F58" w:rsidR="00BD2D4B">
        <w:t xml:space="preserve"> the transaction</w:t>
      </w:r>
      <w:r w:rsidR="00BD2D4B">
        <w:t xml:space="preserve"> closing, costs that </w:t>
      </w:r>
      <w:r w:rsidR="00B55A28">
        <w:t>can far exceed</w:t>
      </w:r>
      <w:r w:rsidR="00BD2D4B">
        <w:t xml:space="preserve"> the average mootness fee</w:t>
      </w:r>
      <w:r w:rsidRPr="00997F58" w:rsidR="00BD2D4B">
        <w:t>.</w:t>
      </w:r>
    </w:p>
    <w:p w:rsidR="00FC36FF" w:rsidP="000906A1" w:rsidRDefault="003A38BB" w14:paraId="4B579CE9" w14:textId="1BE374E0">
      <w:pPr>
        <w:spacing w:after="240"/>
        <w:ind w:firstLine="720"/>
        <w:jc w:val="both"/>
      </w:pPr>
      <w:r w:rsidRPr="00997F58">
        <w:t xml:space="preserve">Most </w:t>
      </w:r>
      <w:r w:rsidR="00CD5D28">
        <w:t>supplemental</w:t>
      </w:r>
      <w:r w:rsidRPr="00997F58">
        <w:t xml:space="preserve"> disclosures</w:t>
      </w:r>
      <w:r w:rsidR="00FF1E84">
        <w:t xml:space="preserve"> </w:t>
      </w:r>
      <w:r w:rsidR="0051371C">
        <w:t xml:space="preserve">seem to </w:t>
      </w:r>
      <w:r w:rsidRPr="00997F58">
        <w:t>add very little to the</w:t>
      </w:r>
      <w:r w:rsidRPr="00997F58" w:rsidR="00351B8E">
        <w:t xml:space="preserve"> total</w:t>
      </w:r>
      <w:r w:rsidRPr="00997F58">
        <w:t xml:space="preserve"> mix</w:t>
      </w:r>
      <w:r w:rsidR="00CD5D28">
        <w:t xml:space="preserve"> of information</w:t>
      </w:r>
      <w:r w:rsidRPr="00997F58">
        <w:t xml:space="preserve">. </w:t>
      </w:r>
      <w:r w:rsidRPr="00997F58" w:rsidR="00351B8E">
        <w:t xml:space="preserve"> </w:t>
      </w:r>
      <w:r w:rsidRPr="00997F58">
        <w:t xml:space="preserve">In </w:t>
      </w:r>
      <w:r w:rsidR="0051371C">
        <w:t>our</w:t>
      </w:r>
      <w:r w:rsidR="00C41B63">
        <w:t xml:space="preserve"> 51-deal sample</w:t>
      </w:r>
      <w:r w:rsidRPr="00997F58">
        <w:t xml:space="preserve">, </w:t>
      </w:r>
      <w:r w:rsidR="001D27BC">
        <w:t>over</w:t>
      </w:r>
      <w:r w:rsidRPr="00997F58">
        <w:t xml:space="preserve"> </w:t>
      </w:r>
      <w:r w:rsidR="001D27BC">
        <w:t>three</w:t>
      </w:r>
      <w:r w:rsidR="003046FA">
        <w:t>-</w:t>
      </w:r>
      <w:r w:rsidR="001D27BC">
        <w:t>quarters</w:t>
      </w:r>
      <w:r w:rsidRPr="00997F58">
        <w:t xml:space="preserve"> </w:t>
      </w:r>
      <w:r w:rsidR="00C41B63">
        <w:t xml:space="preserve">of the supplemental disclosures </w:t>
      </w:r>
      <w:r w:rsidRPr="00997F58" w:rsidR="008104DA">
        <w:t xml:space="preserve">involved </w:t>
      </w:r>
      <w:r w:rsidR="00FF1E84">
        <w:t xml:space="preserve">details </w:t>
      </w:r>
      <w:r w:rsidR="00C650D7">
        <w:t xml:space="preserve">analogous </w:t>
      </w:r>
      <w:r w:rsidR="00FF1E84">
        <w:t>to</w:t>
      </w:r>
      <w:r w:rsidRPr="00997F58">
        <w:t xml:space="preserve"> th</w:t>
      </w:r>
      <w:r w:rsidR="00FF1E84">
        <w:t>ose</w:t>
      </w:r>
      <w:r w:rsidR="0051371C">
        <w:t xml:space="preserve"> that</w:t>
      </w:r>
      <w:r w:rsidRPr="00997F58">
        <w:t xml:space="preserve"> at least one federal court</w:t>
      </w:r>
      <w:r w:rsidR="00FF1E84">
        <w:t xml:space="preserve"> has </w:t>
      </w:r>
      <w:r w:rsidR="0051371C">
        <w:t>found to be</w:t>
      </w:r>
      <w:r w:rsidRPr="00997F58" w:rsidR="0051371C">
        <w:t xml:space="preserve"> </w:t>
      </w:r>
      <w:r w:rsidRPr="00997F58">
        <w:t>immaterial.</w:t>
      </w:r>
      <w:r w:rsidRPr="00997F58" w:rsidR="00BB1A18">
        <w:rPr>
          <w:rStyle w:val="EndnoteReference"/>
        </w:rPr>
        <w:endnoteReference w:id="1"/>
      </w:r>
      <w:r w:rsidRPr="00997F58" w:rsidR="00BB1A18">
        <w:t xml:space="preserve"> </w:t>
      </w:r>
      <w:r w:rsidRPr="00997F58">
        <w:t xml:space="preserve"> Less than 0.</w:t>
      </w:r>
      <w:r w:rsidR="009E713A">
        <w:t>2</w:t>
      </w:r>
      <w:r w:rsidRPr="00997F58">
        <w:t>% of the</w:t>
      </w:r>
      <w:r w:rsidR="00CD5D28">
        <w:t xml:space="preserve"> supplemental</w:t>
      </w:r>
      <w:r w:rsidRPr="00997F58">
        <w:t xml:space="preserve"> disclosures </w:t>
      </w:r>
      <w:r w:rsidR="00CD5D28">
        <w:t>includ</w:t>
      </w:r>
      <w:r w:rsidR="009356A9">
        <w:t>e</w:t>
      </w:r>
      <w:r w:rsidR="00C41B63">
        <w:t>d</w:t>
      </w:r>
      <w:r w:rsidR="00CD5D28">
        <w:t xml:space="preserve"> information</w:t>
      </w:r>
      <w:r w:rsidRPr="00997F58" w:rsidR="00CD5D28">
        <w:t xml:space="preserve"> </w:t>
      </w:r>
      <w:r w:rsidR="008615E8">
        <w:t xml:space="preserve">of a type </w:t>
      </w:r>
      <w:r w:rsidR="0051371C">
        <w:t>that</w:t>
      </w:r>
      <w:r w:rsidR="00A81284">
        <w:t xml:space="preserve"> </w:t>
      </w:r>
      <w:r w:rsidR="0051371C">
        <w:t xml:space="preserve">a federal court has actually found to be </w:t>
      </w:r>
      <w:r w:rsidRPr="00997F58">
        <w:t>potentially material.</w:t>
      </w:r>
    </w:p>
    <w:p w:rsidRPr="00997F58" w:rsidR="003E25C9" w:rsidP="003E25C9" w:rsidRDefault="00A72F92" w14:paraId="7A677661" w14:textId="57964088">
      <w:pPr>
        <w:spacing w:after="240"/>
        <w:jc w:val="both"/>
      </w:pPr>
      <w:r>
        <w:rPr>
          <w:noProof/>
        </w:rPr>
        <w:lastRenderedPageBreak/>
        <w:drawing>
          <wp:inline distT="0" distB="0" distL="0" distR="0" wp14:anchorId="1C51664E" wp14:editId="75346751">
            <wp:extent cx="5943600" cy="3200400"/>
            <wp:effectExtent l="0" t="0" r="0" b="0"/>
            <wp:docPr id="2129224884" name="Chart 1" descr="" title="">
              <a:extLst xmlns:a="http://schemas.openxmlformats.org/drawingml/2006/main">
                <a:ext uri="{FF2B5EF4-FFF2-40B4-BE49-F238E27FC236}">
                  <a16:creationId xmlns:a16="http://schemas.microsoft.com/office/drawing/2014/main" id="{15D47E7D-E47F-B5A3-507B-D5B42BF82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997F58" w:rsidR="0019027A" w:rsidP="00672B54" w:rsidRDefault="00814480" w14:paraId="754C7FFC" w14:textId="699974D0">
      <w:pPr>
        <w:spacing w:after="240"/>
        <w:ind w:firstLine="720"/>
        <w:jc w:val="both"/>
      </w:pPr>
      <w:r w:rsidRPr="00997F58">
        <w:t>The most common supplemental disclosures describe inputs used by financial advisors in their analyses.</w:t>
      </w:r>
      <w:r w:rsidR="00CD5D28">
        <w:t xml:space="preserve">  In many cases, the supplemental disclosures simply provide more </w:t>
      </w:r>
      <w:r w:rsidR="00721C26">
        <w:t>details</w:t>
      </w:r>
      <w:r w:rsidR="00CD5D28">
        <w:t xml:space="preserve"> of a type that would allow a stockholder to replicate some of the financial advisor’s math.</w:t>
      </w:r>
      <w:r w:rsidRPr="00997F58" w:rsidR="00360329">
        <w:t xml:space="preserve">  Here are a </w:t>
      </w:r>
      <w:r w:rsidRPr="00997F58" w:rsidR="000A1884">
        <w:t>couple</w:t>
      </w:r>
      <w:r w:rsidR="006A0302">
        <w:t xml:space="preserve"> of </w:t>
      </w:r>
      <w:r w:rsidR="00CD5D28">
        <w:t>examples</w:t>
      </w:r>
      <w:r w:rsidRPr="00997F58" w:rsidR="00360329">
        <w:t xml:space="preserve">, with </w:t>
      </w:r>
      <w:r w:rsidRPr="00997F58" w:rsidR="00351B8E">
        <w:t xml:space="preserve">the </w:t>
      </w:r>
      <w:r w:rsidRPr="00997F58" w:rsidR="000A1884">
        <w:t xml:space="preserve">supplemental </w:t>
      </w:r>
      <w:r w:rsidRPr="00997F58" w:rsidR="003306F8">
        <w:t>language</w:t>
      </w:r>
      <w:r w:rsidRPr="00997F58" w:rsidR="00360329">
        <w:t xml:space="preserve"> underlined.</w:t>
      </w:r>
    </w:p>
    <w:p w:rsidRPr="00997F58" w:rsidR="00814480" w:rsidP="00672B54" w:rsidRDefault="00672B54" w14:paraId="6963E198" w14:textId="7A01AE49">
      <w:pPr>
        <w:spacing w:after="240"/>
        <w:ind w:left="720" w:right="720"/>
        <w:jc w:val="both"/>
      </w:pPr>
      <w:r w:rsidRPr="00997F58">
        <w:t xml:space="preserve">Using the Financial Forecasts and the Tax Asset Forecasts, </w:t>
      </w:r>
      <w:r w:rsidR="00CD5D28">
        <w:t>[Financial Advisor]</w:t>
      </w:r>
      <w:r w:rsidRPr="00997F58">
        <w:t xml:space="preserve"> performed an illustrative discounted cash flow analysis on the Company to derive a range of illustrative present values per </w:t>
      </w:r>
      <w:r w:rsidRPr="00997F58" w:rsidR="00692509">
        <w:t>share</w:t>
      </w:r>
      <w:r w:rsidRPr="00997F58">
        <w:t xml:space="preserve"> of Company common stock</w:t>
      </w:r>
      <w:r w:rsidRPr="00997F58">
        <w:rPr>
          <w:u w:val="single"/>
        </w:rPr>
        <w:t xml:space="preserve">, </w:t>
      </w:r>
      <w:r w:rsidRPr="00997F58" w:rsidR="00692509">
        <w:rPr>
          <w:u w:val="single"/>
        </w:rPr>
        <w:t xml:space="preserve">using a number of fully diluted shares outstanding provided by Company management based on </w:t>
      </w:r>
      <w:r w:rsidR="00CD5D28">
        <w:rPr>
          <w:u w:val="single"/>
        </w:rPr>
        <w:t>[A]</w:t>
      </w:r>
      <w:r w:rsidRPr="00997F58" w:rsidR="00692509">
        <w:rPr>
          <w:u w:val="single"/>
        </w:rPr>
        <w:t xml:space="preserve"> million outstanding shares of Company common stock, </w:t>
      </w:r>
      <w:r w:rsidR="00CD5D28">
        <w:rPr>
          <w:u w:val="single"/>
        </w:rPr>
        <w:t>[B]</w:t>
      </w:r>
      <w:r w:rsidRPr="00997F58" w:rsidR="00692509">
        <w:rPr>
          <w:u w:val="single"/>
        </w:rPr>
        <w:t xml:space="preserve"> million outstanding Company Options (using the treasury stock method), </w:t>
      </w:r>
      <w:r w:rsidR="00CD5D28">
        <w:rPr>
          <w:u w:val="single"/>
        </w:rPr>
        <w:t>[C]</w:t>
      </w:r>
      <w:r w:rsidRPr="00997F58" w:rsidR="00692509">
        <w:rPr>
          <w:u w:val="single"/>
        </w:rPr>
        <w:t xml:space="preserve"> million outstanding Company RSUs and </w:t>
      </w:r>
      <w:r w:rsidR="00CD5D28">
        <w:rPr>
          <w:u w:val="single"/>
        </w:rPr>
        <w:t>[D]</w:t>
      </w:r>
      <w:r w:rsidRPr="00997F58" w:rsidR="00692509">
        <w:rPr>
          <w:u w:val="single"/>
        </w:rPr>
        <w:t xml:space="preserve"> million outstanding Company PSUs (assuming target performance)</w:t>
      </w:r>
      <w:r w:rsidRPr="00997F58">
        <w:t>.</w:t>
      </w:r>
      <w:r w:rsidRPr="00997F58">
        <w:rPr>
          <w:rStyle w:val="EndnoteReference"/>
        </w:rPr>
        <w:endnoteReference w:id="2"/>
      </w:r>
    </w:p>
    <w:p w:rsidRPr="00997F58" w:rsidR="00672B54" w:rsidP="00672B54" w:rsidRDefault="00CD5D28" w14:paraId="1DB476A2" w14:textId="1BC78785">
      <w:pPr>
        <w:spacing w:after="240"/>
        <w:ind w:left="720" w:right="720"/>
        <w:jc w:val="both"/>
      </w:pPr>
      <w:r>
        <w:t>[Financial Advisor]</w:t>
      </w:r>
      <w:r w:rsidRPr="00997F58">
        <w:t xml:space="preserve"> </w:t>
      </w:r>
      <w:r w:rsidRPr="00997F58" w:rsidR="004B0B88">
        <w:t xml:space="preserve">reviewed stock price targets for shares of </w:t>
      </w:r>
      <w:r>
        <w:t>[Company’s]</w:t>
      </w:r>
      <w:r w:rsidRPr="00997F58">
        <w:t xml:space="preserve"> </w:t>
      </w:r>
      <w:r w:rsidRPr="00997F58" w:rsidR="004B0B88">
        <w:t xml:space="preserve">common stock in </w:t>
      </w:r>
      <w:r>
        <w:t>[#]</w:t>
      </w:r>
      <w:r w:rsidRPr="00997F58">
        <w:t xml:space="preserve"> </w:t>
      </w:r>
      <w:r w:rsidRPr="00997F58" w:rsidR="004B0B88">
        <w:t xml:space="preserve">publicly available Wall Street research analyst reports as of </w:t>
      </w:r>
      <w:r>
        <w:t>[date]</w:t>
      </w:r>
      <w:r w:rsidRPr="00997F58" w:rsidR="004B0B88">
        <w:t xml:space="preserve"> which indicated low and high stock price targets for </w:t>
      </w:r>
      <w:r>
        <w:t>[Company]</w:t>
      </w:r>
      <w:r w:rsidRPr="00997F58">
        <w:t xml:space="preserve"> </w:t>
      </w:r>
      <w:r w:rsidRPr="00997F58" w:rsidR="004B0B88">
        <w:t>ranging from $</w:t>
      </w:r>
      <w:r w:rsidR="009405D8">
        <w:t>[X]</w:t>
      </w:r>
      <w:r w:rsidRPr="00997F58" w:rsidR="004B0B88">
        <w:t xml:space="preserve"> to $</w:t>
      </w:r>
      <w:r w:rsidR="009405D8">
        <w:t>[Y]</w:t>
      </w:r>
      <w:r w:rsidRPr="00997F58" w:rsidR="004B0B88">
        <w:t xml:space="preserve"> per share</w:t>
      </w:r>
      <w:r w:rsidRPr="00785F03" w:rsidR="004B0B88">
        <w:rPr>
          <w:u w:val="single"/>
        </w:rPr>
        <w:t xml:space="preserve"> (</w:t>
      </w:r>
      <w:r w:rsidRPr="00997F58" w:rsidR="004B0B88">
        <w:rPr>
          <w:u w:val="single"/>
        </w:rPr>
        <w:t>with a median price target of $</w:t>
      </w:r>
      <w:r w:rsidR="009405D8">
        <w:rPr>
          <w:u w:val="single"/>
        </w:rPr>
        <w:t>[Z]</w:t>
      </w:r>
      <w:r w:rsidRPr="00997F58" w:rsidR="004B0B88">
        <w:rPr>
          <w:u w:val="single"/>
        </w:rPr>
        <w:t xml:space="preserve"> per share)</w:t>
      </w:r>
      <w:r w:rsidRPr="00997F58" w:rsidR="004B0B88">
        <w:t>.</w:t>
      </w:r>
      <w:r w:rsidRPr="00997F58" w:rsidR="004B0B88">
        <w:rPr>
          <w:rStyle w:val="EndnoteReference"/>
        </w:rPr>
        <w:endnoteReference w:id="3"/>
      </w:r>
    </w:p>
    <w:p w:rsidRPr="00997F58" w:rsidR="000A1884" w:rsidP="004B0B88" w:rsidRDefault="000A1884" w14:paraId="77E45A4A" w14:textId="503BA9BB">
      <w:pPr>
        <w:spacing w:after="240"/>
        <w:ind w:firstLine="720"/>
        <w:jc w:val="both"/>
      </w:pPr>
      <w:r w:rsidRPr="00997F58">
        <w:t xml:space="preserve">Other common </w:t>
      </w:r>
      <w:r w:rsidR="009405D8">
        <w:t xml:space="preserve">types of </w:t>
      </w:r>
      <w:r w:rsidRPr="00997F58">
        <w:t xml:space="preserve">supplemental disclosures focus on the transaction process and potential conflicts of interest.  Those subjects </w:t>
      </w:r>
      <w:r w:rsidR="009405D8">
        <w:t xml:space="preserve">can impact how stockholders </w:t>
      </w:r>
      <w:r w:rsidR="007B7E02">
        <w:t xml:space="preserve">will </w:t>
      </w:r>
      <w:r w:rsidR="00B1020E">
        <w:t>decide</w:t>
      </w:r>
      <w:r w:rsidR="00CC43B0">
        <w:t xml:space="preserve"> on</w:t>
      </w:r>
      <w:r w:rsidR="007B7E02">
        <w:t xml:space="preserve"> </w:t>
      </w:r>
      <w:r w:rsidR="00D47D9D">
        <w:t xml:space="preserve">the </w:t>
      </w:r>
      <w:r w:rsidR="009405D8">
        <w:t>transaction</w:t>
      </w:r>
      <w:r w:rsidRPr="00997F58">
        <w:t>.  But the supplemental details offered to stockholders often add little to the picture already presented</w:t>
      </w:r>
      <w:r w:rsidR="009405D8">
        <w:t xml:space="preserve"> and, in many cases, merely disclose the </w:t>
      </w:r>
      <w:r w:rsidRPr="000514A5" w:rsidR="009405D8">
        <w:rPr>
          <w:i/>
          <w:iCs/>
        </w:rPr>
        <w:t>absence</w:t>
      </w:r>
      <w:r w:rsidR="009405D8">
        <w:t xml:space="preserve"> of fact</w:t>
      </w:r>
      <w:r w:rsidR="003046FA">
        <w:t>s</w:t>
      </w:r>
      <w:r w:rsidR="009405D8">
        <w:t xml:space="preserve">, not the </w:t>
      </w:r>
      <w:r w:rsidRPr="000514A5" w:rsidR="009405D8">
        <w:rPr>
          <w:i/>
          <w:iCs/>
        </w:rPr>
        <w:t>occurrence</w:t>
      </w:r>
      <w:r w:rsidR="009405D8">
        <w:t xml:space="preserve"> of facts.  Here are a few examples:</w:t>
      </w:r>
    </w:p>
    <w:p w:rsidRPr="009356A9" w:rsidR="009405D8" w:rsidP="009405D8" w:rsidRDefault="004B0B88" w14:paraId="69CDD59F" w14:textId="62A7F7AE">
      <w:pPr>
        <w:spacing w:after="240"/>
        <w:ind w:left="720" w:right="720"/>
        <w:jc w:val="both"/>
        <w:rPr>
          <w:u w:val="single"/>
        </w:rPr>
      </w:pPr>
      <w:r w:rsidRPr="00997F58">
        <w:t>The Prior Transaction Committee was formed for convenience to permit the Board of Directors to exercise efficient oversight of Company management </w:t>
      </w:r>
      <w:r w:rsidRPr="00997F58">
        <w:rPr>
          <w:u w:val="single"/>
        </w:rPr>
        <w:t xml:space="preserve">and was not formed because of any actual or potential conflicts of members of the Board of </w:t>
      </w:r>
      <w:r w:rsidRPr="00997F58">
        <w:rPr>
          <w:u w:val="single"/>
        </w:rPr>
        <w:lastRenderedPageBreak/>
        <w:t>Directors</w:t>
      </w:r>
      <w:r w:rsidRPr="00997F58">
        <w:t>. It was formed in light of interest expressed by a third party in a potential strategic transaction with the Company. However, such third party informed the Company that it was no longer interested in a transaction before the Prior Transaction Committee held its first meeting.</w:t>
      </w:r>
      <w:r w:rsidRPr="00997F58" w:rsidR="00942639">
        <w:t xml:space="preserve"> </w:t>
      </w:r>
      <w:r w:rsidRPr="00997F58">
        <w:rPr>
          <w:u w:val="single"/>
        </w:rPr>
        <w:t>While the Prior Transaction Committee never met, it was never formally disbanded. No members of the Prior Transaction Committee were paid any compensation in connection with their service on the committee.</w:t>
      </w:r>
      <w:r w:rsidRPr="00997F58">
        <w:rPr>
          <w:rStyle w:val="EndnoteReference"/>
        </w:rPr>
        <w:endnoteReference w:id="4"/>
      </w:r>
    </w:p>
    <w:p w:rsidRPr="00997F58" w:rsidR="00A5116E" w:rsidP="00433C56" w:rsidRDefault="004B0B88" w14:paraId="51F7CD8A" w14:textId="2B9889CF">
      <w:pPr>
        <w:spacing w:after="240"/>
        <w:ind w:left="720" w:right="720"/>
        <w:jc w:val="both"/>
      </w:pPr>
      <w:r w:rsidRPr="00997F58">
        <w:rPr>
          <w:u w:val="single"/>
        </w:rPr>
        <w:t xml:space="preserve">At no point did the parties discuss </w:t>
      </w:r>
      <w:r w:rsidR="009405D8">
        <w:rPr>
          <w:u w:val="single"/>
        </w:rPr>
        <w:t>[Employee’s]</w:t>
      </w:r>
      <w:r w:rsidRPr="00997F58">
        <w:rPr>
          <w:u w:val="single"/>
        </w:rPr>
        <w:t xml:space="preserve"> employment with </w:t>
      </w:r>
      <w:r w:rsidR="009405D8">
        <w:rPr>
          <w:u w:val="single"/>
        </w:rPr>
        <w:t>[Target]</w:t>
      </w:r>
      <w:r w:rsidR="00A67FAF">
        <w:rPr>
          <w:u w:val="single"/>
        </w:rPr>
        <w:t>, [Buyer Parent] or any affiliate of [Buyer Parent]</w:t>
      </w:r>
      <w:r w:rsidRPr="00997F58">
        <w:rPr>
          <w:u w:val="single"/>
        </w:rPr>
        <w:t xml:space="preserve"> following the closing of any potential strategic transaction between </w:t>
      </w:r>
      <w:r w:rsidR="009405D8">
        <w:rPr>
          <w:u w:val="single"/>
        </w:rPr>
        <w:t xml:space="preserve">[Target </w:t>
      </w:r>
      <w:r w:rsidR="009356A9">
        <w:rPr>
          <w:u w:val="single"/>
        </w:rPr>
        <w:t>and</w:t>
      </w:r>
      <w:r w:rsidR="009405D8">
        <w:rPr>
          <w:u w:val="single"/>
        </w:rPr>
        <w:t xml:space="preserve"> Buyer]</w:t>
      </w:r>
      <w:r w:rsidRPr="00997F58">
        <w:rPr>
          <w:u w:val="single"/>
        </w:rPr>
        <w:t>.</w:t>
      </w:r>
      <w:r w:rsidRPr="00997F58">
        <w:rPr>
          <w:rStyle w:val="EndnoteReference"/>
        </w:rPr>
        <w:endnoteReference w:id="5"/>
      </w:r>
    </w:p>
    <w:p w:rsidR="00B1020E" w:rsidRDefault="00433C56" w14:paraId="7C0CFEE2" w14:textId="71D7C5BE">
      <w:pPr>
        <w:spacing w:after="240"/>
        <w:jc w:val="both"/>
      </w:pPr>
      <w:r w:rsidRPr="00997F58">
        <w:tab/>
      </w:r>
      <w:r w:rsidRPr="00997F58" w:rsidR="003306F8">
        <w:t>There</w:t>
      </w:r>
      <w:r w:rsidRPr="00997F58" w:rsidR="006B4305">
        <w:t xml:space="preserve"> i</w:t>
      </w:r>
      <w:r w:rsidRPr="00997F58" w:rsidR="003306F8">
        <w:t>s no question that the additional details were absent prior to the supplemental disclosure.  But missing does not mean material</w:t>
      </w:r>
      <w:r w:rsidR="0051371C">
        <w:t xml:space="preserve"> or even relevant</w:t>
      </w:r>
      <w:r w:rsidRPr="00997F58" w:rsidR="003306F8">
        <w:t>.</w:t>
      </w:r>
      <w:r w:rsidR="0051371C">
        <w:t xml:space="preserve">  U</w:t>
      </w:r>
      <w:r w:rsidRPr="00997F58" w:rsidR="003306F8">
        <w:t xml:space="preserve">nder the </w:t>
      </w:r>
      <w:r w:rsidR="0051371C">
        <w:t xml:space="preserve">federal courts’ </w:t>
      </w:r>
      <w:r w:rsidRPr="00997F58" w:rsidR="003306F8">
        <w:t>guidance</w:t>
      </w:r>
      <w:r w:rsidRPr="00997F58" w:rsidR="00C21E40">
        <w:t>, the key is whether the missing information would significantly alter the total mix of information.</w:t>
      </w:r>
      <w:r w:rsidRPr="00997F58" w:rsidR="002611D3">
        <w:rPr>
          <w:rStyle w:val="EndnoteReference"/>
        </w:rPr>
        <w:endnoteReference w:id="6"/>
      </w:r>
      <w:r w:rsidRPr="00997F58" w:rsidR="00C21E40">
        <w:t xml:space="preserve">  The</w:t>
      </w:r>
      <w:r w:rsidRPr="00997F58" w:rsidR="00B5410D">
        <w:t xml:space="preserve"> data suggest that the</w:t>
      </w:r>
      <w:r w:rsidRPr="00997F58" w:rsidR="00C21E40">
        <w:t xml:space="preserve"> overwhelming majority of supplemental disclosures</w:t>
      </w:r>
      <w:r w:rsidRPr="00997F58" w:rsidR="002611D3">
        <w:t xml:space="preserve"> </w:t>
      </w:r>
      <w:r w:rsidRPr="00997F58" w:rsidR="00C21E40">
        <w:t>do not.</w:t>
      </w:r>
    </w:p>
    <w:p w:rsidR="008E48FE" w:rsidP="008E48FE" w:rsidRDefault="008E48FE" w14:paraId="19ED6659" w14:textId="48B49249">
      <w:pPr>
        <w:spacing w:after="240"/>
        <w:jc w:val="center"/>
      </w:pPr>
      <w:r>
        <w:t>*</w:t>
      </w:r>
      <w:r>
        <w:tab/>
        <w:t>*</w:t>
      </w:r>
      <w:r>
        <w:tab/>
        <w:t>*</w:t>
      </w:r>
    </w:p>
    <w:p w:rsidRPr="00800EBE" w:rsidR="00800EBE" w:rsidRDefault="00800EBE" w14:paraId="330615B5" w14:textId="4D51F90C">
      <w:pPr>
        <w:spacing w:after="240"/>
        <w:jc w:val="both"/>
        <w:rPr>
          <w:i/>
          <w:iCs/>
        </w:rPr>
      </w:pPr>
      <w:r>
        <w:tab/>
      </w:r>
      <w:r w:rsidRPr="00800EBE">
        <w:rPr>
          <w:i/>
          <w:iCs/>
        </w:rPr>
        <w:t xml:space="preserve">The views and opinions expressed in this article are those of the author and do not necessarily </w:t>
      </w:r>
      <w:r w:rsidR="008E48FE">
        <w:rPr>
          <w:i/>
          <w:iCs/>
        </w:rPr>
        <w:t>represent</w:t>
      </w:r>
      <w:r w:rsidRPr="00800EBE">
        <w:rPr>
          <w:i/>
          <w:iCs/>
        </w:rPr>
        <w:t xml:space="preserve"> those of Sullivan</w:t>
      </w:r>
      <w:r w:rsidR="00A35AF8">
        <w:rPr>
          <w:i/>
          <w:iCs/>
        </w:rPr>
        <w:t> </w:t>
      </w:r>
      <w:r w:rsidRPr="00800EBE">
        <w:rPr>
          <w:i/>
          <w:iCs/>
        </w:rPr>
        <w:t>&amp;</w:t>
      </w:r>
      <w:r w:rsidR="00A35AF8">
        <w:rPr>
          <w:i/>
          <w:iCs/>
        </w:rPr>
        <w:t> </w:t>
      </w:r>
      <w:r w:rsidRPr="00800EBE">
        <w:rPr>
          <w:i/>
          <w:iCs/>
        </w:rPr>
        <w:t>Cromwell</w:t>
      </w:r>
      <w:r w:rsidR="00A35AF8">
        <w:rPr>
          <w:i/>
          <w:iCs/>
        </w:rPr>
        <w:t> </w:t>
      </w:r>
      <w:r w:rsidRPr="00800EBE">
        <w:rPr>
          <w:i/>
          <w:iCs/>
        </w:rPr>
        <w:t xml:space="preserve">LLP or its clients. </w:t>
      </w:r>
      <w:r>
        <w:rPr>
          <w:i/>
          <w:iCs/>
        </w:rPr>
        <w:t xml:space="preserve"> </w:t>
      </w:r>
      <w:r w:rsidRPr="00800EBE">
        <w:rPr>
          <w:i/>
          <w:iCs/>
        </w:rPr>
        <w:t>Melissa would like to thank her colleague Andrew Lin for his invaluable assistance.</w:t>
      </w:r>
    </w:p>
    <w:sectPr w:rsidRPr="00800EBE" w:rsidR="00800EBE" w:rsidSect="007D259D">
      <w:footerReference w:type="default" r:id="rId13"/>
      <w:headerReference w:type="first" r:id="rId14"/>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E7A" w:rsidP="00295099" w:rsidRDefault="00664E7A" w14:paraId="635391B6" w14:textId="77777777">
      <w:r>
        <w:separator/>
      </w:r>
    </w:p>
  </w:endnote>
  <w:endnote w:type="continuationSeparator" w:id="0">
    <w:p w:rsidR="00664E7A" w:rsidP="00295099" w:rsidRDefault="00664E7A" w14:paraId="4BDA7B3C" w14:textId="77777777">
      <w:r>
        <w:continuationSeparator/>
      </w:r>
    </w:p>
  </w:endnote>
  <w:endnote w:id="1">
    <w:p w:rsidRPr="003E25C9" w:rsidR="003171B4" w:rsidP="00BB48EB" w:rsidRDefault="00BB1A18" w14:paraId="2BF02FC8" w14:textId="35DA237F">
      <w:pPr>
        <w:pStyle w:val="EndnoteText"/>
        <w:spacing w:after="100"/>
        <w:ind w:left="720" w:hanging="720"/>
        <w:jc w:val="both"/>
      </w:pPr>
      <w:r w:rsidRPr="003E25C9">
        <w:rPr>
          <w:rStyle w:val="EndnoteReference"/>
        </w:rPr>
        <w:endnoteRef/>
      </w:r>
      <w:r w:rsidRPr="003E25C9">
        <w:t xml:space="preserve"> </w:t>
      </w:r>
      <w:r w:rsidRPr="003E25C9">
        <w:tab/>
      </w:r>
      <w:r w:rsidR="00BB48EB">
        <w:t xml:space="preserve">For purposes of </w:t>
      </w:r>
      <w:r w:rsidR="004742D6">
        <w:t>our</w:t>
      </w:r>
      <w:r w:rsidR="00BB48EB">
        <w:t xml:space="preserve"> analysis, the relevant </w:t>
      </w:r>
      <w:r w:rsidR="00A5116E">
        <w:t xml:space="preserve">federal court decisions are </w:t>
      </w:r>
      <w:r w:rsidRPr="003E25C9">
        <w:rPr>
          <w:i/>
          <w:iCs/>
        </w:rPr>
        <w:t xml:space="preserve">Jaroslawicz </w:t>
      </w:r>
      <w:r w:rsidRPr="003E25C9">
        <w:t xml:space="preserve">v. </w:t>
      </w:r>
      <w:r w:rsidRPr="003E25C9">
        <w:rPr>
          <w:i/>
          <w:iCs/>
        </w:rPr>
        <w:t>M&amp;T Bank Corp.</w:t>
      </w:r>
      <w:r w:rsidRPr="003E25C9">
        <w:t>, 962 F.3d 701 (3d Cir.</w:t>
      </w:r>
      <w:r w:rsidR="006B4305">
        <w:t> </w:t>
      </w:r>
      <w:r w:rsidRPr="003E25C9">
        <w:t xml:space="preserve">2020); </w:t>
      </w:r>
      <w:r w:rsidRPr="003E25C9">
        <w:rPr>
          <w:i/>
          <w:iCs/>
        </w:rPr>
        <w:t xml:space="preserve">Karp </w:t>
      </w:r>
      <w:r w:rsidRPr="003E25C9">
        <w:t>v.</w:t>
      </w:r>
      <w:r w:rsidRPr="003E25C9">
        <w:rPr>
          <w:i/>
          <w:iCs/>
        </w:rPr>
        <w:t xml:space="preserve"> First Conn. Bancorp, Inc.</w:t>
      </w:r>
      <w:r w:rsidRPr="003E25C9">
        <w:t>, 69 F.4th 223 (4th Cir.</w:t>
      </w:r>
      <w:r w:rsidR="006B4305">
        <w:t> </w:t>
      </w:r>
      <w:r w:rsidRPr="003E25C9">
        <w:t xml:space="preserve">2023); </w:t>
      </w:r>
      <w:r w:rsidRPr="003E25C9">
        <w:rPr>
          <w:i/>
          <w:iCs/>
        </w:rPr>
        <w:t xml:space="preserve">Kuebler </w:t>
      </w:r>
      <w:r w:rsidRPr="003E25C9">
        <w:t xml:space="preserve">v. </w:t>
      </w:r>
      <w:r w:rsidRPr="003E25C9">
        <w:rPr>
          <w:i/>
          <w:iCs/>
        </w:rPr>
        <w:t>Vectren Corp.</w:t>
      </w:r>
      <w:r w:rsidRPr="003E25C9">
        <w:t>, 13 F.4th 631 (7th Cir.</w:t>
      </w:r>
      <w:r w:rsidR="006B4305">
        <w:t> </w:t>
      </w:r>
      <w:r w:rsidRPr="003E25C9">
        <w:t xml:space="preserve">2021); </w:t>
      </w:r>
      <w:r w:rsidR="003171B4">
        <w:rPr>
          <w:i/>
          <w:iCs/>
        </w:rPr>
        <w:t>In re Walgreen Co. S’holde</w:t>
      </w:r>
      <w:r w:rsidR="00FF1E84">
        <w:rPr>
          <w:i/>
          <w:iCs/>
        </w:rPr>
        <w:t>r</w:t>
      </w:r>
      <w:r w:rsidR="003171B4">
        <w:rPr>
          <w:i/>
          <w:iCs/>
        </w:rPr>
        <w:t xml:space="preserve"> Litig.</w:t>
      </w:r>
      <w:r w:rsidR="003171B4">
        <w:t>, 832 F.3d 718 (7th Cir. 2016)</w:t>
      </w:r>
      <w:r w:rsidR="00FD5E41">
        <w:t xml:space="preserve">; </w:t>
      </w:r>
      <w:r w:rsidR="003171B4">
        <w:rPr>
          <w:i/>
          <w:iCs/>
        </w:rPr>
        <w:t xml:space="preserve">Belcher </w:t>
      </w:r>
      <w:r w:rsidRPr="00FD5E41" w:rsidR="003171B4">
        <w:t>v.</w:t>
      </w:r>
      <w:r w:rsidR="003171B4">
        <w:rPr>
          <w:i/>
          <w:iCs/>
        </w:rPr>
        <w:t xml:space="preserve"> Volta Inc.</w:t>
      </w:r>
      <w:r w:rsidR="003171B4">
        <w:t>, 714 F.</w:t>
      </w:r>
      <w:r w:rsidR="007B179C">
        <w:t xml:space="preserve"> </w:t>
      </w:r>
      <w:r w:rsidR="003171B4">
        <w:t>Supp.</w:t>
      </w:r>
      <w:r w:rsidR="00FD5E41">
        <w:t xml:space="preserve"> </w:t>
      </w:r>
      <w:r w:rsidR="003171B4">
        <w:t>3d</w:t>
      </w:r>
      <w:r w:rsidR="00FD5E41">
        <w:t xml:space="preserve"> </w:t>
      </w:r>
      <w:r w:rsidR="003171B4">
        <w:t>379 (S.D.N.Y.</w:t>
      </w:r>
      <w:r w:rsidR="00AD524D">
        <w:t> </w:t>
      </w:r>
      <w:r w:rsidR="003171B4">
        <w:t>2024)</w:t>
      </w:r>
      <w:r w:rsidR="00FD5E41">
        <w:t xml:space="preserve"> and </w:t>
      </w:r>
      <w:r w:rsidRPr="003E25C9" w:rsidR="00FD5E41">
        <w:rPr>
          <w:i/>
          <w:iCs/>
        </w:rPr>
        <w:t xml:space="preserve">Berg </w:t>
      </w:r>
      <w:r w:rsidRPr="003E25C9" w:rsidR="00FD5E41">
        <w:t xml:space="preserve">v. </w:t>
      </w:r>
      <w:r w:rsidRPr="003E25C9" w:rsidR="00FD5E41">
        <w:rPr>
          <w:i/>
          <w:iCs/>
        </w:rPr>
        <w:t>Akorn, Inc.</w:t>
      </w:r>
      <w:r w:rsidRPr="003E25C9" w:rsidR="00FD5E41">
        <w:t xml:space="preserve">, </w:t>
      </w:r>
      <w:r w:rsidR="00FD5E41">
        <w:t>2025 WL 755704</w:t>
      </w:r>
      <w:r w:rsidRPr="003E25C9" w:rsidR="00FD5E41">
        <w:t xml:space="preserve"> (N.D. Ill. Mar.</w:t>
      </w:r>
      <w:r w:rsidR="00FD5E41">
        <w:t> </w:t>
      </w:r>
      <w:r w:rsidRPr="003E25C9" w:rsidR="00FD5E41">
        <w:t>10,</w:t>
      </w:r>
      <w:r w:rsidR="00FD5E41">
        <w:t> </w:t>
      </w:r>
      <w:r w:rsidRPr="003E25C9" w:rsidR="00FD5E41">
        <w:t>2025)</w:t>
      </w:r>
      <w:r w:rsidR="00FD5E41">
        <w:t>.</w:t>
      </w:r>
    </w:p>
  </w:endnote>
  <w:endnote w:id="2">
    <w:p w:rsidR="00672B54" w:rsidP="00BB48EB" w:rsidRDefault="00672B54" w14:paraId="3D821964" w14:textId="7769B2D4">
      <w:pPr>
        <w:pStyle w:val="EndnoteText"/>
        <w:spacing w:after="100"/>
        <w:ind w:left="720" w:hanging="720"/>
      </w:pPr>
      <w:r>
        <w:rPr>
          <w:rStyle w:val="EndnoteReference"/>
        </w:rPr>
        <w:endnoteRef/>
      </w:r>
      <w:r>
        <w:t xml:space="preserve"> </w:t>
      </w:r>
      <w:r>
        <w:tab/>
      </w:r>
      <w:r w:rsidRPr="00BC152E" w:rsidR="00BC152E">
        <w:t>Electronic Arts Inc., Definitive Additional Materials (Schedule</w:t>
      </w:r>
      <w:r w:rsidR="00FD3DD5">
        <w:t> </w:t>
      </w:r>
      <w:r w:rsidRPr="00BC152E" w:rsidR="00BC152E">
        <w:t>14A) (Dec.</w:t>
      </w:r>
      <w:r w:rsidR="00FD3DD5">
        <w:t> </w:t>
      </w:r>
      <w:r w:rsidRPr="00BC152E" w:rsidR="00BC152E">
        <w:t>15,</w:t>
      </w:r>
      <w:r w:rsidR="00FD3DD5">
        <w:t> </w:t>
      </w:r>
      <w:r w:rsidRPr="00BC152E" w:rsidR="00BC152E">
        <w:t>2025).</w:t>
      </w:r>
    </w:p>
  </w:endnote>
  <w:endnote w:id="3">
    <w:p w:rsidR="004B0B88" w:rsidP="00BB48EB" w:rsidRDefault="004B0B88" w14:paraId="58621ECA" w14:textId="3FB24FEB">
      <w:pPr>
        <w:pStyle w:val="EndnoteText"/>
        <w:spacing w:after="100"/>
        <w:ind w:left="720" w:hanging="720"/>
      </w:pPr>
      <w:r>
        <w:rPr>
          <w:rStyle w:val="EndnoteReference"/>
        </w:rPr>
        <w:endnoteRef/>
      </w:r>
      <w:r>
        <w:t xml:space="preserve"> </w:t>
      </w:r>
      <w:r>
        <w:tab/>
      </w:r>
      <w:r w:rsidRPr="00BC152E" w:rsidR="00BC152E">
        <w:t>Intra-Cellular Therapies, Inc., Current Report (Form</w:t>
      </w:r>
      <w:r w:rsidR="00AD524D">
        <w:t> </w:t>
      </w:r>
      <w:r w:rsidRPr="00BC152E" w:rsidR="00BC152E">
        <w:t>8-K) (Mar.</w:t>
      </w:r>
      <w:r w:rsidR="00FD3DD5">
        <w:t> </w:t>
      </w:r>
      <w:r w:rsidRPr="00BC152E" w:rsidR="00BC152E">
        <w:t>18,</w:t>
      </w:r>
      <w:r w:rsidR="00FD3DD5">
        <w:t> </w:t>
      </w:r>
      <w:r w:rsidRPr="00BC152E" w:rsidR="00BC152E">
        <w:t>2025).</w:t>
      </w:r>
    </w:p>
  </w:endnote>
  <w:endnote w:id="4">
    <w:p w:rsidR="004B0B88" w:rsidP="00BB48EB" w:rsidRDefault="004B0B88" w14:paraId="0B486E4C" w14:textId="256CBD7D">
      <w:pPr>
        <w:pStyle w:val="EndnoteText"/>
        <w:spacing w:after="100"/>
        <w:ind w:left="720" w:hanging="720"/>
      </w:pPr>
      <w:r>
        <w:rPr>
          <w:rStyle w:val="EndnoteReference"/>
        </w:rPr>
        <w:endnoteRef/>
      </w:r>
      <w:r>
        <w:t xml:space="preserve"> </w:t>
      </w:r>
      <w:r>
        <w:tab/>
      </w:r>
      <w:r w:rsidRPr="00BC152E" w:rsidR="00BC152E">
        <w:t>Akero Therapeutics, Inc., Definitive Additional Materials (Schedule</w:t>
      </w:r>
      <w:r w:rsidR="00FD3DD5">
        <w:t> </w:t>
      </w:r>
      <w:r w:rsidRPr="00BC152E" w:rsidR="00BC152E">
        <w:t>14A) (Nov.</w:t>
      </w:r>
      <w:r w:rsidR="00FD3DD5">
        <w:t> </w:t>
      </w:r>
      <w:r w:rsidRPr="00BC152E" w:rsidR="00BC152E">
        <w:t>24,</w:t>
      </w:r>
      <w:r w:rsidR="00FD3DD5">
        <w:t> </w:t>
      </w:r>
      <w:r w:rsidRPr="00BC152E" w:rsidR="00BC152E">
        <w:t>2025).</w:t>
      </w:r>
    </w:p>
  </w:endnote>
  <w:endnote w:id="5">
    <w:p w:rsidR="004B0B88" w:rsidP="00BB48EB" w:rsidRDefault="004B0B88" w14:paraId="756E8881" w14:textId="51B3D923">
      <w:pPr>
        <w:pStyle w:val="EndnoteText"/>
        <w:spacing w:after="100"/>
        <w:ind w:left="720" w:hanging="720"/>
      </w:pPr>
      <w:r>
        <w:rPr>
          <w:rStyle w:val="EndnoteReference"/>
        </w:rPr>
        <w:endnoteRef/>
      </w:r>
      <w:r>
        <w:t xml:space="preserve"> </w:t>
      </w:r>
      <w:r>
        <w:tab/>
      </w:r>
      <w:r w:rsidRPr="00780DEA" w:rsidR="00780DEA">
        <w:t>Altair Engineering Inc.,</w:t>
      </w:r>
      <w:r w:rsidR="001A01C9">
        <w:t xml:space="preserve"> </w:t>
      </w:r>
      <w:r w:rsidRPr="00BC152E" w:rsidR="001A01C9">
        <w:t>Definitive Additional Materials (Schedule</w:t>
      </w:r>
      <w:r w:rsidR="00FD3DD5">
        <w:t> </w:t>
      </w:r>
      <w:r w:rsidRPr="00BC152E" w:rsidR="001A01C9">
        <w:t xml:space="preserve">14A) </w:t>
      </w:r>
      <w:r w:rsidRPr="00780DEA" w:rsidR="00780DEA">
        <w:t>(Jan.</w:t>
      </w:r>
      <w:r w:rsidR="00FD3DD5">
        <w:t> </w:t>
      </w:r>
      <w:r w:rsidRPr="00780DEA" w:rsidR="00780DEA">
        <w:t>16,</w:t>
      </w:r>
      <w:r w:rsidR="00FD3DD5">
        <w:t> </w:t>
      </w:r>
      <w:r w:rsidRPr="00780DEA" w:rsidR="00780DEA">
        <w:t>2025).</w:t>
      </w:r>
    </w:p>
  </w:endnote>
  <w:endnote w:id="6">
    <w:p w:rsidRPr="002611D3" w:rsidR="009405D8" w:rsidRDefault="002611D3" w14:paraId="102A3A26" w14:textId="49A904CF">
      <w:pPr>
        <w:pStyle w:val="EndnoteText"/>
      </w:pPr>
      <w:r>
        <w:rPr>
          <w:rStyle w:val="EndnoteReference"/>
        </w:rPr>
        <w:endnoteRef/>
      </w:r>
      <w:r>
        <w:t xml:space="preserve"> </w:t>
      </w:r>
      <w:r>
        <w:tab/>
      </w:r>
      <w:r>
        <w:rPr>
          <w:i/>
          <w:iCs/>
        </w:rPr>
        <w:t>See, e.g.</w:t>
      </w:r>
      <w:r>
        <w:t xml:space="preserve">, </w:t>
      </w:r>
      <w:r>
        <w:rPr>
          <w:i/>
          <w:iCs/>
        </w:rPr>
        <w:t xml:space="preserve">TSC Indus., Inc. </w:t>
      </w:r>
      <w:r>
        <w:t xml:space="preserve">v. </w:t>
      </w:r>
      <w:r>
        <w:rPr>
          <w:i/>
          <w:iCs/>
        </w:rPr>
        <w:t>Northway, Inc.</w:t>
      </w:r>
      <w:r>
        <w:t>, 426 U.S. 438</w:t>
      </w:r>
      <w:r w:rsidR="00B5410D">
        <w:t>, 449</w:t>
      </w:r>
      <w:r>
        <w:t xml:space="preserve"> (1976).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0399"/>
      <w:docPartObj>
        <w:docPartGallery w:val="Page Numbers (Bottom of Page)"/>
        <w:docPartUnique/>
      </w:docPartObj>
    </w:sdtPr>
    <w:sdtEndPr>
      <w:rPr>
        <w:noProof/>
      </w:rPr>
    </w:sdtEndPr>
    <w:sdtContent>
      <w:p w:rsidR="004B0B88" w:rsidP="006B4305" w:rsidRDefault="004B0B88" w14:paraId="74F45A4E" w14:textId="675C90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E7A" w:rsidP="00295099" w:rsidRDefault="00664E7A" w14:paraId="7647909E" w14:textId="77777777">
      <w:r>
        <w:separator/>
      </w:r>
    </w:p>
  </w:footnote>
  <w:footnote w:type="continuationSeparator" w:id="0">
    <w:p w:rsidR="00664E7A" w:rsidP="00295099" w:rsidRDefault="00664E7A" w14:paraId="09E48E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59D" w:rsidP="007D259D" w:rsidRDefault="007D259D" w14:paraId="6D69469A" w14:textId="06AECC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8E8FF0"/>
    <w:lvl w:ilvl="0">
      <w:start w:val="1"/>
      <w:numFmt w:val="decimal"/>
      <w:lvlText w:val="%1."/>
      <w:lvlJc w:val="left"/>
      <w:pPr>
        <w:tabs>
          <w:tab w:val="num" w:pos="3600"/>
        </w:tabs>
        <w:ind w:left="3600" w:hanging="720"/>
      </w:pPr>
      <w:rPr>
        <w:rFonts w:hint="default"/>
      </w:rPr>
    </w:lvl>
  </w:abstractNum>
  <w:abstractNum w:abstractNumId="1" w15:restartNumberingAfterBreak="0">
    <w:nsid w:val="FFFFFF7D"/>
    <w:multiLevelType w:val="singleLevel"/>
    <w:tmpl w:val="5478F95A"/>
    <w:lvl w:ilvl="0">
      <w:start w:val="1"/>
      <w:numFmt w:val="decimal"/>
      <w:lvlText w:val="%1."/>
      <w:lvlJc w:val="left"/>
      <w:pPr>
        <w:tabs>
          <w:tab w:val="num" w:pos="2880"/>
        </w:tabs>
        <w:ind w:left="2880" w:hanging="720"/>
      </w:pPr>
      <w:rPr>
        <w:rFonts w:hint="default"/>
      </w:rPr>
    </w:lvl>
  </w:abstractNum>
  <w:abstractNum w:abstractNumId="2" w15:restartNumberingAfterBreak="0">
    <w:nsid w:val="FFFFFF7E"/>
    <w:multiLevelType w:val="singleLevel"/>
    <w:tmpl w:val="067C3FBE"/>
    <w:lvl w:ilvl="0">
      <w:start w:val="1"/>
      <w:numFmt w:val="decimal"/>
      <w:pStyle w:val="ListNumber3"/>
      <w:lvlText w:val="%1."/>
      <w:lvlJc w:val="left"/>
      <w:pPr>
        <w:tabs>
          <w:tab w:val="num" w:pos="2160"/>
        </w:tabs>
        <w:ind w:left="2160" w:hanging="720"/>
      </w:pPr>
      <w:rPr>
        <w:rFonts w:hint="default"/>
      </w:rPr>
    </w:lvl>
  </w:abstractNum>
  <w:abstractNum w:abstractNumId="3" w15:restartNumberingAfterBreak="0">
    <w:nsid w:val="FFFFFF7F"/>
    <w:multiLevelType w:val="singleLevel"/>
    <w:tmpl w:val="3E3CF36A"/>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D06764"/>
    <w:lvl w:ilvl="0">
      <w:start w:val="1"/>
      <w:numFmt w:val="bullet"/>
      <w:lvlText w:val=""/>
      <w:lvlJc w:val="left"/>
      <w:pPr>
        <w:tabs>
          <w:tab w:val="num" w:pos="3600"/>
        </w:tabs>
        <w:ind w:left="3600" w:hanging="720"/>
      </w:pPr>
      <w:rPr>
        <w:rFonts w:ascii="Symbol" w:hAnsi="Symbol" w:hint="default"/>
      </w:rPr>
    </w:lvl>
  </w:abstractNum>
  <w:abstractNum w:abstractNumId="5" w15:restartNumberingAfterBreak="0">
    <w:nsid w:val="FFFFFF81"/>
    <w:multiLevelType w:val="singleLevel"/>
    <w:tmpl w:val="A6DE3D36"/>
    <w:lvl w:ilvl="0">
      <w:start w:val="1"/>
      <w:numFmt w:val="bullet"/>
      <w:lvlText w:val=""/>
      <w:lvlJc w:val="left"/>
      <w:pPr>
        <w:tabs>
          <w:tab w:val="num" w:pos="2880"/>
        </w:tabs>
        <w:ind w:left="2880" w:hanging="720"/>
      </w:pPr>
      <w:rPr>
        <w:rFonts w:ascii="Symbol" w:hAnsi="Symbol" w:hint="default"/>
      </w:rPr>
    </w:lvl>
  </w:abstractNum>
  <w:abstractNum w:abstractNumId="6" w15:restartNumberingAfterBreak="0">
    <w:nsid w:val="FFFFFF82"/>
    <w:multiLevelType w:val="singleLevel"/>
    <w:tmpl w:val="28103820"/>
    <w:lvl w:ilvl="0">
      <w:start w:val="1"/>
      <w:numFmt w:val="bullet"/>
      <w:pStyle w:val="ListBullet3"/>
      <w:lvlText w:val=""/>
      <w:lvlJc w:val="left"/>
      <w:pPr>
        <w:tabs>
          <w:tab w:val="num" w:pos="2160"/>
        </w:tabs>
        <w:ind w:left="2160" w:hanging="720"/>
      </w:pPr>
      <w:rPr>
        <w:rFonts w:ascii="Symbol" w:hAnsi="Symbol" w:hint="default"/>
      </w:rPr>
    </w:lvl>
  </w:abstractNum>
  <w:abstractNum w:abstractNumId="7" w15:restartNumberingAfterBreak="0">
    <w:nsid w:val="FFFFFF83"/>
    <w:multiLevelType w:val="singleLevel"/>
    <w:tmpl w:val="D1EABA30"/>
    <w:lvl w:ilvl="0">
      <w:start w:val="1"/>
      <w:numFmt w:val="bullet"/>
      <w:pStyle w:val="ListBullet2"/>
      <w:lvlText w:val=""/>
      <w:lvlJc w:val="left"/>
      <w:pPr>
        <w:tabs>
          <w:tab w:val="num" w:pos="720"/>
        </w:tabs>
        <w:ind w:left="1440" w:hanging="720"/>
      </w:pPr>
      <w:rPr>
        <w:rFonts w:ascii="Symbol" w:hAnsi="Symbol" w:hint="default"/>
      </w:rPr>
    </w:lvl>
  </w:abstractNum>
  <w:abstractNum w:abstractNumId="8" w15:restartNumberingAfterBreak="0">
    <w:nsid w:val="FFFFFF88"/>
    <w:multiLevelType w:val="singleLevel"/>
    <w:tmpl w:val="AEDA69CA"/>
    <w:lvl w:ilvl="0">
      <w:start w:val="1"/>
      <w:numFmt w:val="decimal"/>
      <w:pStyle w:val="ListNumber"/>
      <w:lvlText w:val="%1."/>
      <w:lvlJc w:val="left"/>
      <w:pPr>
        <w:tabs>
          <w:tab w:val="num" w:pos="720"/>
        </w:tabs>
        <w:ind w:left="720" w:hanging="720"/>
      </w:pPr>
      <w:rPr>
        <w:rFonts w:hint="default"/>
      </w:rPr>
    </w:lvl>
  </w:abstractNum>
  <w:abstractNum w:abstractNumId="9" w15:restartNumberingAfterBreak="0">
    <w:nsid w:val="FFFFFF89"/>
    <w:multiLevelType w:val="singleLevel"/>
    <w:tmpl w:val="C7F81AF4"/>
    <w:lvl w:ilvl="0">
      <w:start w:val="1"/>
      <w:numFmt w:val="bullet"/>
      <w:pStyle w:val="ListBullet"/>
      <w:lvlText w:val=""/>
      <w:lvlJc w:val="left"/>
      <w:pPr>
        <w:tabs>
          <w:tab w:val="num" w:pos="720"/>
        </w:tabs>
        <w:ind w:left="720" w:hanging="720"/>
      </w:pPr>
      <w:rPr>
        <w:rFonts w:ascii="Symbol" w:hAnsi="Symbol" w:hint="default"/>
      </w:rPr>
    </w:lvl>
  </w:abstractNum>
  <w:abstractNum w:abstractNumId="10" w15:restartNumberingAfterBreak="0">
    <w:nsid w:val="089B5C8B"/>
    <w:multiLevelType w:val="multilevel"/>
    <w:tmpl w:val="2FEE3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400124">
    <w:abstractNumId w:val="10"/>
  </w:num>
  <w:num w:numId="2" w16cid:durableId="1605380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9160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0486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402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73056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9454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2827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70860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807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1630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93325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4247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6494637">
    <w:abstractNumId w:val="9"/>
  </w:num>
  <w:num w:numId="15" w16cid:durableId="888537876">
    <w:abstractNumId w:val="7"/>
  </w:num>
  <w:num w:numId="16" w16cid:durableId="1925450380">
    <w:abstractNumId w:val="6"/>
  </w:num>
  <w:num w:numId="17" w16cid:durableId="739985406">
    <w:abstractNumId w:val="5"/>
  </w:num>
  <w:num w:numId="18" w16cid:durableId="2037583840">
    <w:abstractNumId w:val="4"/>
  </w:num>
  <w:num w:numId="19" w16cid:durableId="2049599346">
    <w:abstractNumId w:val="8"/>
  </w:num>
  <w:num w:numId="20" w16cid:durableId="161048104">
    <w:abstractNumId w:val="3"/>
  </w:num>
  <w:num w:numId="21" w16cid:durableId="1779138440">
    <w:abstractNumId w:val="2"/>
  </w:num>
  <w:num w:numId="22" w16cid:durableId="115107377">
    <w:abstractNumId w:val="1"/>
  </w:num>
  <w:num w:numId="23" w16cid:durableId="1784301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F8"/>
    <w:rsid w:val="000008F4"/>
    <w:rsid w:val="00006491"/>
    <w:rsid w:val="0000743F"/>
    <w:rsid w:val="00017E60"/>
    <w:rsid w:val="000344AB"/>
    <w:rsid w:val="000514A5"/>
    <w:rsid w:val="00075AFD"/>
    <w:rsid w:val="000906A1"/>
    <w:rsid w:val="00097969"/>
    <w:rsid w:val="000A187B"/>
    <w:rsid w:val="000A1884"/>
    <w:rsid w:val="000A1A02"/>
    <w:rsid w:val="000B0469"/>
    <w:rsid w:val="000E3228"/>
    <w:rsid w:val="000E59C1"/>
    <w:rsid w:val="000F0D1E"/>
    <w:rsid w:val="00106E26"/>
    <w:rsid w:val="00140DA9"/>
    <w:rsid w:val="001432C8"/>
    <w:rsid w:val="00145562"/>
    <w:rsid w:val="001540E1"/>
    <w:rsid w:val="0016265F"/>
    <w:rsid w:val="00175DC7"/>
    <w:rsid w:val="00187116"/>
    <w:rsid w:val="0019027A"/>
    <w:rsid w:val="001A01C9"/>
    <w:rsid w:val="001C670A"/>
    <w:rsid w:val="001D27BC"/>
    <w:rsid w:val="001E3876"/>
    <w:rsid w:val="001E50FC"/>
    <w:rsid w:val="002063C6"/>
    <w:rsid w:val="00211B2A"/>
    <w:rsid w:val="00215CE9"/>
    <w:rsid w:val="00222129"/>
    <w:rsid w:val="0024530F"/>
    <w:rsid w:val="002458CB"/>
    <w:rsid w:val="00246778"/>
    <w:rsid w:val="002611D3"/>
    <w:rsid w:val="00264A21"/>
    <w:rsid w:val="00272C45"/>
    <w:rsid w:val="00272C99"/>
    <w:rsid w:val="00290E05"/>
    <w:rsid w:val="00294BE2"/>
    <w:rsid w:val="00295099"/>
    <w:rsid w:val="002B71B2"/>
    <w:rsid w:val="002C66F7"/>
    <w:rsid w:val="003046FA"/>
    <w:rsid w:val="003171B4"/>
    <w:rsid w:val="003306F8"/>
    <w:rsid w:val="00347062"/>
    <w:rsid w:val="00351B8E"/>
    <w:rsid w:val="00354166"/>
    <w:rsid w:val="00355D4D"/>
    <w:rsid w:val="00360329"/>
    <w:rsid w:val="0036535B"/>
    <w:rsid w:val="00371749"/>
    <w:rsid w:val="003744A9"/>
    <w:rsid w:val="00376FE1"/>
    <w:rsid w:val="003851BA"/>
    <w:rsid w:val="003A38BB"/>
    <w:rsid w:val="003D17D7"/>
    <w:rsid w:val="003D2A2A"/>
    <w:rsid w:val="003D5ABB"/>
    <w:rsid w:val="003E25C9"/>
    <w:rsid w:val="003E3C8D"/>
    <w:rsid w:val="00410143"/>
    <w:rsid w:val="004101A1"/>
    <w:rsid w:val="0042295C"/>
    <w:rsid w:val="0042339C"/>
    <w:rsid w:val="00424246"/>
    <w:rsid w:val="00433C56"/>
    <w:rsid w:val="00441CC0"/>
    <w:rsid w:val="00466784"/>
    <w:rsid w:val="004676BC"/>
    <w:rsid w:val="004742D6"/>
    <w:rsid w:val="004B0B88"/>
    <w:rsid w:val="004D6CF6"/>
    <w:rsid w:val="004E4B60"/>
    <w:rsid w:val="004F414D"/>
    <w:rsid w:val="0051371C"/>
    <w:rsid w:val="00533A89"/>
    <w:rsid w:val="0053474D"/>
    <w:rsid w:val="005470B2"/>
    <w:rsid w:val="005723EA"/>
    <w:rsid w:val="0058512D"/>
    <w:rsid w:val="005B0620"/>
    <w:rsid w:val="005B10D6"/>
    <w:rsid w:val="005B2D64"/>
    <w:rsid w:val="005D2C97"/>
    <w:rsid w:val="005D6525"/>
    <w:rsid w:val="005E3678"/>
    <w:rsid w:val="005F7D70"/>
    <w:rsid w:val="00601CE1"/>
    <w:rsid w:val="00602EC1"/>
    <w:rsid w:val="00603D76"/>
    <w:rsid w:val="00623012"/>
    <w:rsid w:val="00623B81"/>
    <w:rsid w:val="00633448"/>
    <w:rsid w:val="00635556"/>
    <w:rsid w:val="0066251A"/>
    <w:rsid w:val="00664E7A"/>
    <w:rsid w:val="00672B54"/>
    <w:rsid w:val="00674AF6"/>
    <w:rsid w:val="00686312"/>
    <w:rsid w:val="00690CF6"/>
    <w:rsid w:val="00692509"/>
    <w:rsid w:val="00693D31"/>
    <w:rsid w:val="006A0302"/>
    <w:rsid w:val="006B3CDE"/>
    <w:rsid w:val="006B4305"/>
    <w:rsid w:val="006B5531"/>
    <w:rsid w:val="006C7F2F"/>
    <w:rsid w:val="006D39F3"/>
    <w:rsid w:val="006D788E"/>
    <w:rsid w:val="006E6121"/>
    <w:rsid w:val="006F3565"/>
    <w:rsid w:val="006F36DF"/>
    <w:rsid w:val="00721C26"/>
    <w:rsid w:val="00722C84"/>
    <w:rsid w:val="00724073"/>
    <w:rsid w:val="0074527D"/>
    <w:rsid w:val="00750FE5"/>
    <w:rsid w:val="007542ED"/>
    <w:rsid w:val="0076180E"/>
    <w:rsid w:val="00766B4E"/>
    <w:rsid w:val="0076765D"/>
    <w:rsid w:val="00780DEA"/>
    <w:rsid w:val="00785F03"/>
    <w:rsid w:val="00794280"/>
    <w:rsid w:val="007B179C"/>
    <w:rsid w:val="007B7E02"/>
    <w:rsid w:val="007D259D"/>
    <w:rsid w:val="007E0AF0"/>
    <w:rsid w:val="007E1E3C"/>
    <w:rsid w:val="007F5E2D"/>
    <w:rsid w:val="00800EBE"/>
    <w:rsid w:val="0080270E"/>
    <w:rsid w:val="0080303B"/>
    <w:rsid w:val="008104DA"/>
    <w:rsid w:val="00812492"/>
    <w:rsid w:val="00814480"/>
    <w:rsid w:val="008263A7"/>
    <w:rsid w:val="00832DA2"/>
    <w:rsid w:val="0083369F"/>
    <w:rsid w:val="00837B73"/>
    <w:rsid w:val="008474D7"/>
    <w:rsid w:val="008615E8"/>
    <w:rsid w:val="008912C7"/>
    <w:rsid w:val="008C0487"/>
    <w:rsid w:val="008D42B8"/>
    <w:rsid w:val="008E48FE"/>
    <w:rsid w:val="008F79AD"/>
    <w:rsid w:val="008F7A59"/>
    <w:rsid w:val="009101D3"/>
    <w:rsid w:val="00911F02"/>
    <w:rsid w:val="00923D11"/>
    <w:rsid w:val="00924938"/>
    <w:rsid w:val="00934882"/>
    <w:rsid w:val="00934D2C"/>
    <w:rsid w:val="009356A9"/>
    <w:rsid w:val="009405D8"/>
    <w:rsid w:val="00942639"/>
    <w:rsid w:val="009468F8"/>
    <w:rsid w:val="0094702C"/>
    <w:rsid w:val="00985AEA"/>
    <w:rsid w:val="00994886"/>
    <w:rsid w:val="00997F58"/>
    <w:rsid w:val="009C5357"/>
    <w:rsid w:val="009E0991"/>
    <w:rsid w:val="009E5EB6"/>
    <w:rsid w:val="009E713A"/>
    <w:rsid w:val="00A013E0"/>
    <w:rsid w:val="00A043B3"/>
    <w:rsid w:val="00A051BA"/>
    <w:rsid w:val="00A15326"/>
    <w:rsid w:val="00A164D6"/>
    <w:rsid w:val="00A20B29"/>
    <w:rsid w:val="00A35AF8"/>
    <w:rsid w:val="00A40073"/>
    <w:rsid w:val="00A5116E"/>
    <w:rsid w:val="00A6283C"/>
    <w:rsid w:val="00A64972"/>
    <w:rsid w:val="00A67FAF"/>
    <w:rsid w:val="00A72F92"/>
    <w:rsid w:val="00A81284"/>
    <w:rsid w:val="00A81EFF"/>
    <w:rsid w:val="00A94BA0"/>
    <w:rsid w:val="00AA6F72"/>
    <w:rsid w:val="00AC1543"/>
    <w:rsid w:val="00AC6E4F"/>
    <w:rsid w:val="00AD524D"/>
    <w:rsid w:val="00AE74AB"/>
    <w:rsid w:val="00AF1E50"/>
    <w:rsid w:val="00B01F08"/>
    <w:rsid w:val="00B04CF0"/>
    <w:rsid w:val="00B1020E"/>
    <w:rsid w:val="00B12998"/>
    <w:rsid w:val="00B15F5A"/>
    <w:rsid w:val="00B45912"/>
    <w:rsid w:val="00B473CE"/>
    <w:rsid w:val="00B50716"/>
    <w:rsid w:val="00B5410D"/>
    <w:rsid w:val="00B55A28"/>
    <w:rsid w:val="00B71E5F"/>
    <w:rsid w:val="00B861BC"/>
    <w:rsid w:val="00BB1A18"/>
    <w:rsid w:val="00BB48EB"/>
    <w:rsid w:val="00BC152E"/>
    <w:rsid w:val="00BC6434"/>
    <w:rsid w:val="00BD2D4B"/>
    <w:rsid w:val="00BE60AF"/>
    <w:rsid w:val="00BE6289"/>
    <w:rsid w:val="00C159D0"/>
    <w:rsid w:val="00C21E40"/>
    <w:rsid w:val="00C24EFC"/>
    <w:rsid w:val="00C417BB"/>
    <w:rsid w:val="00C41B63"/>
    <w:rsid w:val="00C57FB9"/>
    <w:rsid w:val="00C618A9"/>
    <w:rsid w:val="00C650D7"/>
    <w:rsid w:val="00C800C4"/>
    <w:rsid w:val="00C92CD2"/>
    <w:rsid w:val="00CB1AFB"/>
    <w:rsid w:val="00CC43B0"/>
    <w:rsid w:val="00CD5D28"/>
    <w:rsid w:val="00CE0D8A"/>
    <w:rsid w:val="00CF0BB8"/>
    <w:rsid w:val="00D00930"/>
    <w:rsid w:val="00D13AF6"/>
    <w:rsid w:val="00D24AAE"/>
    <w:rsid w:val="00D36359"/>
    <w:rsid w:val="00D4606A"/>
    <w:rsid w:val="00D47D9D"/>
    <w:rsid w:val="00D631A5"/>
    <w:rsid w:val="00D7284D"/>
    <w:rsid w:val="00D81793"/>
    <w:rsid w:val="00D838B9"/>
    <w:rsid w:val="00D90849"/>
    <w:rsid w:val="00D936F2"/>
    <w:rsid w:val="00DA24FE"/>
    <w:rsid w:val="00DD34C2"/>
    <w:rsid w:val="00DE77F2"/>
    <w:rsid w:val="00E56737"/>
    <w:rsid w:val="00E630BE"/>
    <w:rsid w:val="00E6691D"/>
    <w:rsid w:val="00E673CC"/>
    <w:rsid w:val="00E84021"/>
    <w:rsid w:val="00EB6D0C"/>
    <w:rsid w:val="00ED6865"/>
    <w:rsid w:val="00EF0C6D"/>
    <w:rsid w:val="00EF3845"/>
    <w:rsid w:val="00F16BD5"/>
    <w:rsid w:val="00F16BFD"/>
    <w:rsid w:val="00F20050"/>
    <w:rsid w:val="00F204D4"/>
    <w:rsid w:val="00F32B44"/>
    <w:rsid w:val="00F348DA"/>
    <w:rsid w:val="00F40886"/>
    <w:rsid w:val="00F50DD8"/>
    <w:rsid w:val="00F62E6D"/>
    <w:rsid w:val="00F65792"/>
    <w:rsid w:val="00F724DA"/>
    <w:rsid w:val="00F9556C"/>
    <w:rsid w:val="00FA7531"/>
    <w:rsid w:val="00FB58D2"/>
    <w:rsid w:val="00FC36FF"/>
    <w:rsid w:val="00FC3A0F"/>
    <w:rsid w:val="00FD3DD5"/>
    <w:rsid w:val="00FD5E41"/>
    <w:rsid w:val="00FE2EE8"/>
    <w:rsid w:val="00FF100D"/>
    <w:rsid w:val="00FF1E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CC0C26"/>
  <w15:chartTrackingRefBased/>
  <w15:docId w15:val="{606CB22E-C220-4536-AC58-FC2FC1D7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rPr>
  </w:style>
  <w:style w:type="paragraph" w:styleId="Heading1">
    <w:name w:val="heading 1"/>
    <w:basedOn w:val="Normal"/>
    <w:next w:val="BodyText"/>
    <w:qFormat/>
    <w:pPr>
      <w:keepNext/>
      <w:spacing w:after="240"/>
      <w:outlineLvl w:val="0"/>
    </w:pPr>
    <w:rPr>
      <w:b/>
    </w:rPr>
  </w:style>
  <w:style w:type="paragraph" w:styleId="Heading2">
    <w:name w:val="heading 2"/>
    <w:basedOn w:val="Normal"/>
    <w:next w:val="BodyText"/>
    <w:qFormat/>
    <w:pPr>
      <w:keepNext/>
      <w:spacing w:after="240"/>
      <w:outlineLvl w:val="1"/>
    </w:pPr>
  </w:style>
  <w:style w:type="paragraph" w:styleId="Heading3">
    <w:name w:val="heading 3"/>
    <w:basedOn w:val="Normal"/>
    <w:next w:val="Normal"/>
    <w:qFormat/>
    <w:pPr>
      <w:spacing w:after="240"/>
      <w:outlineLvl w:val="2"/>
    </w:pPr>
  </w:style>
  <w:style w:type="paragraph" w:styleId="Heading4">
    <w:name w:val="heading 4"/>
    <w:basedOn w:val="Normal"/>
    <w:next w:val="Normal"/>
    <w:semiHidden/>
    <w:unhideWhenUsed/>
    <w:qFormat/>
    <w:pPr>
      <w:spacing w:after="240"/>
      <w:outlineLvl w:val="3"/>
    </w:pPr>
  </w:style>
  <w:style w:type="paragraph" w:styleId="Heading5">
    <w:name w:val="heading 5"/>
    <w:basedOn w:val="Normal"/>
    <w:next w:val="Normal"/>
    <w:semiHidden/>
    <w:unhideWhenUsed/>
    <w:qFormat/>
    <w:pPr>
      <w:spacing w:after="240"/>
      <w:outlineLvl w:val="4"/>
    </w:pPr>
  </w:style>
  <w:style w:type="paragraph" w:styleId="Heading6">
    <w:name w:val="heading 6"/>
    <w:basedOn w:val="Normal"/>
    <w:next w:val="Normal"/>
    <w:semiHidden/>
    <w:unhideWhenUsed/>
    <w:qFormat/>
    <w:pPr>
      <w:spacing w:after="240"/>
      <w:outlineLvl w:val="5"/>
    </w:pPr>
  </w:style>
  <w:style w:type="paragraph" w:styleId="Heading7">
    <w:name w:val="heading 7"/>
    <w:basedOn w:val="Normal"/>
    <w:next w:val="Normal"/>
    <w:semiHidden/>
    <w:unhideWhenUsed/>
    <w:qFormat/>
    <w:pPr>
      <w:spacing w:after="240"/>
      <w:outlineLvl w:val="6"/>
    </w:pPr>
  </w:style>
  <w:style w:type="paragraph" w:styleId="Heading8">
    <w:name w:val="heading 8"/>
    <w:basedOn w:val="Normal"/>
    <w:next w:val="Normal"/>
    <w:semiHidden/>
    <w:unhideWhenUsed/>
    <w:qFormat/>
    <w:pPr>
      <w:spacing w:after="240"/>
      <w:outlineLvl w:val="7"/>
    </w:pPr>
  </w:style>
  <w:style w:type="paragraph" w:styleId="Heading9">
    <w:name w:val="heading 9"/>
    <w:basedOn w:val="Normal"/>
    <w:next w:val="Normal"/>
    <w:semiHidden/>
    <w:unhideWhenUsed/>
    <w:qFormat/>
    <w:pPr>
      <w:spacing w:after="24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111111">
    <w:name w:val="Outline List 2"/>
    <w:basedOn w:val="NoList"/>
  </w:style>
  <w:style w:type="numbering" w:styleId="1ai">
    <w:name w:val="Outline List 1"/>
    <w:basedOn w:val="NoList"/>
  </w:style>
  <w:style w:type="numbering" w:styleId="ArticleSection">
    <w:name w:val="Outline List 3"/>
    <w:basedOn w:val="NoList"/>
  </w:style>
  <w:style w:type="paragraph" w:styleId="BlockText">
    <w:name w:val="Block Text"/>
    <w:basedOn w:val="Normal"/>
    <w:pPr>
      <w:spacing w:after="240"/>
      <w:ind w:left="1440" w:right="1440"/>
    </w:pPr>
  </w:style>
  <w:style w:type="paragraph" w:styleId="BodyText2">
    <w:name w:val="Body Text 2"/>
    <w:basedOn w:val="Normal"/>
    <w:pPr>
      <w:spacing w:after="240"/>
    </w:pPr>
  </w:style>
  <w:style w:type="paragraph" w:styleId="BodyText3">
    <w:name w:val="Body Text 3"/>
    <w:basedOn w:val="Normal"/>
    <w:semiHidden/>
    <w:unhideWhenUsed/>
    <w:pPr>
      <w:spacing w:after="240"/>
      <w:ind w:left="720" w:firstLine="720"/>
    </w:pPr>
  </w:style>
  <w:style w:type="paragraph" w:styleId="BodyTextIndent">
    <w:name w:val="Body Text Indent"/>
    <w:basedOn w:val="Normal"/>
    <w:pPr>
      <w:spacing w:after="240"/>
      <w:ind w:left="720"/>
    </w:pPr>
  </w:style>
  <w:style w:type="paragraph" w:styleId="BodyTextFirstIndent2">
    <w:name w:val="Body Text First Indent 2"/>
    <w:basedOn w:val="Normal"/>
    <w:semiHidden/>
    <w:unhideWhenUsed/>
    <w:pPr>
      <w:spacing w:after="240"/>
      <w:ind w:firstLine="720"/>
    </w:pPr>
  </w:style>
  <w:style w:type="paragraph" w:styleId="BodyText">
    <w:name w:val="Body Text"/>
    <w:basedOn w:val="Normal"/>
    <w:pPr>
      <w:spacing w:after="240"/>
      <w:ind w:firstLine="1440"/>
    </w:pPr>
  </w:style>
  <w:style w:type="paragraph" w:styleId="BodyTextFirstIndent">
    <w:name w:val="Body Text First Indent"/>
    <w:basedOn w:val="Normal"/>
    <w:pPr>
      <w:spacing w:after="240"/>
      <w:ind w:firstLine="720"/>
    </w:pPr>
  </w:style>
  <w:style w:type="paragraph" w:styleId="BodyTextIndent2">
    <w:name w:val="Body Text Indent 2"/>
    <w:basedOn w:val="Normal"/>
    <w:semiHidden/>
    <w:unhideWhenUsed/>
    <w:pPr>
      <w:spacing w:after="240"/>
      <w:ind w:left="720"/>
    </w:pPr>
  </w:style>
  <w:style w:type="paragraph" w:styleId="BodyTextIndent3">
    <w:name w:val="Body Text Indent 3"/>
    <w:basedOn w:val="Normal"/>
    <w:semiHidden/>
    <w:unhideWhenUsed/>
    <w:pPr>
      <w:spacing w:after="240"/>
      <w:ind w:left="720"/>
    </w:pPr>
  </w:style>
  <w:style w:type="paragraph" w:styleId="Caption">
    <w:name w:val="caption"/>
    <w:basedOn w:val="Normal"/>
    <w:next w:val="Normal"/>
    <w:semiHidden/>
    <w:qFormat/>
    <w:pPr>
      <w:spacing w:before="120" w:after="120"/>
    </w:pPr>
    <w:rPr>
      <w:sz w:val="20"/>
    </w:rPr>
  </w:style>
  <w:style w:type="paragraph" w:styleId="CaptionText" w:customStyle="1">
    <w:name w:val="Caption Text"/>
    <w:basedOn w:val="Normal"/>
    <w:semiHidden/>
    <w:pPr>
      <w:spacing w:after="240"/>
    </w:pPr>
  </w:style>
  <w:style w:type="paragraph" w:styleId="CaptionTitle" w:customStyle="1">
    <w:name w:val="Caption Title"/>
    <w:basedOn w:val="Normal"/>
    <w:semiHidden/>
    <w:pPr>
      <w:keepNext/>
      <w:spacing w:after="240"/>
      <w:jc w:val="center"/>
    </w:pPr>
    <w:rPr>
      <w:b/>
    </w:rPr>
  </w:style>
  <w:style w:type="paragraph" w:styleId="Closing">
    <w:name w:val="Closing"/>
    <w:basedOn w:val="Normal"/>
    <w:semiHidden/>
    <w:pPr>
      <w:ind w:left="4320"/>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Date">
    <w:name w:val="Date"/>
    <w:basedOn w:val="Normal"/>
    <w:next w:val="Normal"/>
    <w:semiHidden/>
    <w:rPr>
      <w:sz w:val="20"/>
    </w:rPr>
  </w:style>
  <w:style w:type="paragraph" w:styleId="DocumentMap">
    <w:name w:val="Document Map"/>
    <w:basedOn w:val="Normal"/>
    <w:semiHidden/>
    <w:pPr>
      <w:shd w:val="clear" w:color="auto" w:fill="000080"/>
      <w:jc w:val="both"/>
    </w:pPr>
    <w:rPr>
      <w:rFonts w:ascii="Tahoma" w:hAnsi="Tahoma"/>
      <w:sz w:val="20"/>
    </w:rPr>
  </w:style>
  <w:style w:type="paragraph" w:styleId="Draft" w:customStyle="1">
    <w:name w:val="Draft"/>
    <w:basedOn w:val="Normal"/>
    <w:semiHidden/>
    <w:pPr>
      <w:jc w:val="right"/>
    </w:pPr>
  </w:style>
  <w:style w:type="paragraph" w:styleId="E-mailSignature">
    <w:name w:val="E-mail Signature"/>
    <w:basedOn w:val="Normal"/>
    <w:semiHidden/>
  </w:style>
  <w:style w:type="character" w:styleId="Emphasis">
    <w:name w:val="Emphasis"/>
    <w:basedOn w:val="DefaultParagraphFont"/>
    <w:semiHidden/>
    <w:qFormat/>
    <w:rPr>
      <w:i/>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Space="180" w:wrap="auto" w:hAnchor="page" w:xAlign="center" w:yAlign="bottom" w:hRule="exact"/>
      <w:ind w:left="2880"/>
    </w:pPr>
  </w:style>
  <w:style w:type="paragraph" w:styleId="EnvelopeReturn">
    <w:name w:val="envelope return"/>
    <w:basedOn w:val="Normal"/>
    <w:semiHidden/>
    <w:rPr>
      <w:sz w:val="20"/>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uiPriority w:val="99"/>
    <w:pPr>
      <w:tabs>
        <w:tab w:val="center" w:pos="4680"/>
        <w:tab w:val="right" w:pos="9360"/>
      </w:tabs>
    </w:p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pPr>
      <w:spacing w:after="240"/>
      <w:ind w:left="720" w:hanging="720"/>
    </w:pPr>
  </w:style>
  <w:style w:type="paragraph" w:styleId="Header">
    <w:name w:val="header"/>
    <w:basedOn w:val="Normal"/>
    <w:unhideWhenUsed/>
    <w:pPr>
      <w:tabs>
        <w:tab w:val="center" w:pos="4680"/>
        <w:tab w:val="right" w:pos="936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semiHidden/>
    <w:pPr>
      <w:spacing w:after="240"/>
      <w:ind w:left="720" w:hanging="720"/>
    </w:pPr>
  </w:style>
  <w:style w:type="paragraph" w:styleId="Index2">
    <w:name w:val="index 2"/>
    <w:basedOn w:val="Normal"/>
    <w:semiHidden/>
    <w:pPr>
      <w:spacing w:after="240"/>
      <w:ind w:left="1440" w:hanging="720"/>
    </w:pPr>
  </w:style>
  <w:style w:type="paragraph" w:styleId="Index3">
    <w:name w:val="index 3"/>
    <w:basedOn w:val="Normal"/>
    <w:semiHidden/>
    <w:pPr>
      <w:spacing w:after="240"/>
      <w:ind w:left="2160" w:hanging="720"/>
    </w:pPr>
  </w:style>
  <w:style w:type="paragraph" w:styleId="Index4">
    <w:name w:val="index 4"/>
    <w:basedOn w:val="Normal"/>
    <w:semiHidden/>
    <w:pPr>
      <w:spacing w:after="240"/>
      <w:ind w:left="2880" w:hanging="720"/>
    </w:pPr>
  </w:style>
  <w:style w:type="paragraph" w:styleId="Index5">
    <w:name w:val="index 5"/>
    <w:basedOn w:val="Normal"/>
    <w:semiHidden/>
    <w:pPr>
      <w:spacing w:after="240"/>
      <w:ind w:left="3600" w:hanging="720"/>
    </w:pPr>
  </w:style>
  <w:style w:type="paragraph" w:styleId="Index6">
    <w:name w:val="index 6"/>
    <w:basedOn w:val="Normal"/>
    <w:semiHidden/>
    <w:pPr>
      <w:spacing w:after="240"/>
      <w:ind w:left="3600" w:hanging="720"/>
    </w:pPr>
  </w:style>
  <w:style w:type="paragraph" w:styleId="Index7">
    <w:name w:val="index 7"/>
    <w:basedOn w:val="Normal"/>
    <w:semiHidden/>
    <w:pPr>
      <w:spacing w:after="240"/>
      <w:ind w:left="4320" w:hanging="720"/>
    </w:pPr>
  </w:style>
  <w:style w:type="paragraph" w:styleId="Index8">
    <w:name w:val="index 8"/>
    <w:basedOn w:val="Normal"/>
    <w:semiHidden/>
    <w:pPr>
      <w:spacing w:after="240"/>
      <w:ind w:left="5040" w:hanging="720"/>
    </w:pPr>
  </w:style>
  <w:style w:type="paragraph" w:styleId="Index9">
    <w:name w:val="index 9"/>
    <w:basedOn w:val="Normal"/>
    <w:semiHidden/>
    <w:pPr>
      <w:spacing w:after="240"/>
      <w:ind w:left="5760" w:hanging="720"/>
    </w:pPr>
  </w:style>
  <w:style w:type="paragraph" w:styleId="IndexHeading">
    <w:name w:val="index heading"/>
    <w:basedOn w:val="Normal"/>
    <w:next w:val="Index1"/>
    <w:semiHidden/>
    <w:unhideWhenUsed/>
    <w:pPr>
      <w:spacing w:after="240"/>
    </w:pPr>
  </w:style>
  <w:style w:type="character" w:styleId="LineNumber">
    <w:name w:val="line number"/>
    <w:basedOn w:val="DefaultParagraphFont"/>
    <w:semiHidden/>
  </w:style>
  <w:style w:type="paragraph" w:styleId="List">
    <w:name w:val="List"/>
    <w:basedOn w:val="Normal"/>
    <w:semiHidden/>
    <w:pPr>
      <w:spacing w:after="240"/>
      <w:ind w:left="720" w:hanging="720"/>
    </w:pPr>
  </w:style>
  <w:style w:type="paragraph" w:styleId="List2">
    <w:name w:val="List 2"/>
    <w:basedOn w:val="Normal"/>
    <w:semiHidden/>
    <w:pPr>
      <w:spacing w:after="240"/>
      <w:ind w:left="1440" w:hanging="720"/>
    </w:pPr>
  </w:style>
  <w:style w:type="paragraph" w:styleId="List3">
    <w:name w:val="List 3"/>
    <w:basedOn w:val="Normal"/>
    <w:semiHidden/>
    <w:pPr>
      <w:spacing w:after="240"/>
      <w:ind w:left="2160" w:hanging="720"/>
    </w:pPr>
  </w:style>
  <w:style w:type="paragraph" w:styleId="List4">
    <w:name w:val="List 4"/>
    <w:basedOn w:val="Normal"/>
    <w:semiHidden/>
    <w:pPr>
      <w:spacing w:after="240"/>
      <w:ind w:left="2880" w:hanging="720"/>
    </w:pPr>
  </w:style>
  <w:style w:type="paragraph" w:styleId="List5">
    <w:name w:val="List 5"/>
    <w:basedOn w:val="Normal"/>
    <w:semiHidden/>
    <w:pPr>
      <w:spacing w:after="240"/>
      <w:ind w:left="3600" w:hanging="720"/>
    </w:pPr>
  </w:style>
  <w:style w:type="paragraph" w:styleId="ListBullet2">
    <w:name w:val="List Bullet 2"/>
    <w:basedOn w:val="Normal"/>
    <w:qFormat/>
    <w:pPr>
      <w:numPr>
        <w:numId w:val="15"/>
      </w:numPr>
      <w:spacing w:after="240"/>
    </w:pPr>
  </w:style>
  <w:style w:type="paragraph" w:styleId="ListBullet3">
    <w:name w:val="List Bullet 3"/>
    <w:basedOn w:val="Normal"/>
    <w:pPr>
      <w:numPr>
        <w:numId w:val="16"/>
      </w:numPr>
      <w:spacing w:after="240"/>
    </w:pPr>
  </w:style>
  <w:style w:type="paragraph" w:styleId="ListBullet">
    <w:name w:val="List Bullet"/>
    <w:basedOn w:val="Normal"/>
    <w:qFormat/>
    <w:pPr>
      <w:numPr>
        <w:numId w:val="14"/>
      </w:numPr>
      <w:spacing w:after="240"/>
    </w:pPr>
  </w:style>
  <w:style w:type="paragraph" w:styleId="ListContinue2">
    <w:name w:val="List Continue 2"/>
    <w:basedOn w:val="Normal"/>
    <w:semiHidden/>
    <w:pPr>
      <w:spacing w:after="240"/>
      <w:ind w:left="1440"/>
    </w:pPr>
  </w:style>
  <w:style w:type="paragraph" w:styleId="ListContinue3">
    <w:name w:val="List Continue 3"/>
    <w:basedOn w:val="Normal"/>
    <w:semiHidden/>
    <w:pPr>
      <w:spacing w:after="240"/>
      <w:ind w:left="2160"/>
    </w:pPr>
  </w:style>
  <w:style w:type="paragraph" w:styleId="ListContinue4">
    <w:name w:val="List Continue 4"/>
    <w:basedOn w:val="Normal"/>
    <w:semiHidden/>
    <w:pPr>
      <w:spacing w:after="240"/>
      <w:ind w:left="2880"/>
    </w:pPr>
  </w:style>
  <w:style w:type="paragraph" w:styleId="ListContinue5">
    <w:name w:val="List Continue 5"/>
    <w:basedOn w:val="Normal"/>
    <w:semiHidden/>
    <w:pPr>
      <w:spacing w:after="240"/>
      <w:ind w:left="3600"/>
    </w:pPr>
  </w:style>
  <w:style w:type="paragraph" w:styleId="ListContinue">
    <w:name w:val="List Continue"/>
    <w:basedOn w:val="Normal"/>
    <w:semiHidden/>
    <w:pPr>
      <w:spacing w:after="240"/>
      <w:ind w:left="720"/>
    </w:pPr>
  </w:style>
  <w:style w:type="paragraph" w:styleId="ListNumber2">
    <w:name w:val="List Number 2"/>
    <w:basedOn w:val="Normal"/>
    <w:qFormat/>
    <w:pPr>
      <w:numPr>
        <w:numId w:val="20"/>
      </w:numPr>
      <w:spacing w:after="240"/>
    </w:pPr>
  </w:style>
  <w:style w:type="paragraph" w:styleId="ListNumber3">
    <w:name w:val="List Number 3"/>
    <w:basedOn w:val="Normal"/>
    <w:pPr>
      <w:numPr>
        <w:numId w:val="21"/>
      </w:numPr>
      <w:spacing w:after="240"/>
    </w:pPr>
  </w:style>
  <w:style w:type="paragraph" w:styleId="ListNumber">
    <w:name w:val="List Number"/>
    <w:basedOn w:val="Normal"/>
    <w:qFormat/>
    <w:pPr>
      <w:numPr>
        <w:numId w:val="19"/>
      </w:numPr>
      <w:spacing w:after="2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color="auto" w:sz="6" w:space="1"/>
        <w:left w:val="single" w:color="auto" w:sz="6" w:space="1"/>
        <w:bottom w:val="single" w:color="auto" w:sz="6" w:space="1"/>
        <w:right w:val="single" w:color="auto" w:sz="6" w:space="1"/>
      </w:pBdr>
      <w:shd w:val="pct20" w:color="auto" w:fill="auto"/>
      <w:ind w:left="1080" w:hanging="1080"/>
      <w:jc w:val="both"/>
    </w:pPr>
    <w:rPr>
      <w:rFonts w:ascii="Arial" w:hAnsi="Arial"/>
      <w:sz w:val="20"/>
    </w:rPr>
  </w:style>
  <w:style w:type="paragraph" w:styleId="NormalWeb">
    <w:name w:val="Normal (Web)"/>
    <w:basedOn w:val="Normal"/>
    <w:semiHidden/>
    <w:rPr>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unhideWhenUsed/>
  </w:style>
  <w:style w:type="paragraph" w:styleId="PlainText">
    <w:name w:val="Plain Text"/>
    <w:basedOn w:val="Normal"/>
    <w:semiHidden/>
    <w:rPr>
      <w:rFonts w:ascii="Courier New" w:hAnsi="Courier New"/>
    </w:rPr>
  </w:style>
  <w:style w:type="paragraph" w:styleId="Salutation">
    <w:name w:val="Salutation"/>
    <w:basedOn w:val="Normal"/>
    <w:next w:val="Normal"/>
    <w:semiHidden/>
  </w:style>
  <w:style w:type="paragraph" w:styleId="SecondHeading1" w:customStyle="1">
    <w:name w:val="Second Heading 1"/>
    <w:basedOn w:val="Normal"/>
    <w:pPr>
      <w:keepNext/>
      <w:spacing w:after="240"/>
      <w:outlineLvl w:val="0"/>
    </w:pPr>
  </w:style>
  <w:style w:type="paragraph" w:styleId="SecondHeading2" w:customStyle="1">
    <w:name w:val="Second Heading 2"/>
    <w:basedOn w:val="Normal"/>
    <w:pPr>
      <w:spacing w:after="240"/>
      <w:outlineLvl w:val="1"/>
    </w:pPr>
  </w:style>
  <w:style w:type="paragraph" w:styleId="SecondHeading3" w:customStyle="1">
    <w:name w:val="Second Heading 3"/>
    <w:basedOn w:val="Normal"/>
    <w:pPr>
      <w:spacing w:after="240"/>
      <w:outlineLvl w:val="2"/>
    </w:pPr>
  </w:style>
  <w:style w:type="paragraph" w:styleId="SecondHeading4" w:customStyle="1">
    <w:name w:val="Second Heading 4"/>
    <w:basedOn w:val="Normal"/>
    <w:semiHidden/>
    <w:unhideWhenUsed/>
    <w:pPr>
      <w:spacing w:after="240"/>
      <w:outlineLvl w:val="3"/>
    </w:pPr>
  </w:style>
  <w:style w:type="paragraph" w:styleId="SecondHeading5" w:customStyle="1">
    <w:name w:val="Second Heading 5"/>
    <w:basedOn w:val="Normal"/>
    <w:semiHidden/>
    <w:unhideWhenUsed/>
    <w:pPr>
      <w:spacing w:after="240"/>
      <w:outlineLvl w:val="4"/>
    </w:pPr>
  </w:style>
  <w:style w:type="paragraph" w:styleId="SecondHeading6" w:customStyle="1">
    <w:name w:val="Second Heading 6"/>
    <w:basedOn w:val="Normal"/>
    <w:semiHidden/>
    <w:unhideWhenUsed/>
    <w:pPr>
      <w:spacing w:after="240"/>
      <w:outlineLvl w:val="5"/>
    </w:pPr>
  </w:style>
  <w:style w:type="paragraph" w:styleId="SecondHeading7" w:customStyle="1">
    <w:name w:val="Second Heading 7"/>
    <w:basedOn w:val="Normal"/>
    <w:semiHidden/>
    <w:unhideWhenUsed/>
    <w:pPr>
      <w:spacing w:after="240"/>
      <w:outlineLvl w:val="6"/>
    </w:pPr>
  </w:style>
  <w:style w:type="paragraph" w:styleId="SecondHeading8" w:customStyle="1">
    <w:name w:val="Second Heading 8"/>
    <w:basedOn w:val="Normal"/>
    <w:semiHidden/>
    <w:unhideWhenUsed/>
    <w:pPr>
      <w:spacing w:after="240"/>
      <w:outlineLvl w:val="7"/>
    </w:pPr>
  </w:style>
  <w:style w:type="paragraph" w:styleId="SecondHeading9" w:customStyle="1">
    <w:name w:val="Second Heading 9"/>
    <w:basedOn w:val="Normal"/>
    <w:semiHidden/>
    <w:unhideWhenUsed/>
    <w:pPr>
      <w:spacing w:after="240"/>
      <w:outlineLvl w:val="8"/>
    </w:pPr>
  </w:style>
  <w:style w:type="paragraph" w:styleId="Signature">
    <w:name w:val="Signature"/>
    <w:basedOn w:val="Normal"/>
    <w:pPr>
      <w:ind w:left="4320"/>
    </w:pPr>
  </w:style>
  <w:style w:type="character" w:styleId="Strong">
    <w:name w:val="Strong"/>
    <w:basedOn w:val="DefaultParagraphFont"/>
    <w:semiHidden/>
    <w:qFormat/>
    <w:rPr>
      <w:b/>
    </w:rPr>
  </w:style>
  <w:style w:type="paragraph" w:styleId="Subtitle">
    <w:name w:val="Subtitle"/>
    <w:basedOn w:val="Normal"/>
    <w:next w:val="BodyText"/>
    <w:qFormat/>
    <w:pPr>
      <w:keepNext/>
      <w:spacing w:after="240"/>
      <w:jc w:val="center"/>
    </w:pPr>
    <w:rPr>
      <w:b/>
    </w:rPr>
  </w:style>
  <w:style w:type="table" w:styleId="Table3Deffects1">
    <w:name w:val="Table 3D effects 1"/>
    <w:basedOn w:val="TableNormal"/>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semiHidden/>
    <w:unhideWhenUsed/>
    <w:pPr>
      <w:ind w:left="240" w:hanging="240"/>
    </w:pPr>
  </w:style>
  <w:style w:type="paragraph" w:styleId="TableofFigures">
    <w:name w:val="table of figures"/>
    <w:basedOn w:val="Normal"/>
    <w:next w:val="Normal"/>
    <w:semiHidden/>
    <w:unhideWhenUsed/>
    <w:pPr>
      <w:ind w:left="480" w:hanging="480"/>
    </w:pPr>
  </w:style>
  <w:style w:type="table" w:styleId="TableProfessional">
    <w:name w:val="Table Professional"/>
    <w:basedOn w:val="TableNormal"/>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TableText" w:customStyle="1">
    <w:name w:val="Table Text"/>
    <w:basedOn w:val="Normal"/>
    <w:semiHidden/>
    <w:unhideWhenUsed/>
  </w:style>
  <w:style w:type="table" w:styleId="TableTheme">
    <w:name w:val="Table Theme"/>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qFormat/>
    <w:pPr>
      <w:keepNext/>
      <w:spacing w:after="240"/>
      <w:jc w:val="center"/>
    </w:pPr>
    <w:rPr>
      <w:b/>
      <w:caps/>
    </w:rPr>
  </w:style>
  <w:style w:type="paragraph" w:styleId="TOAHeading">
    <w:name w:val="toa heading"/>
    <w:basedOn w:val="Normal"/>
    <w:next w:val="Normal"/>
    <w:semiHidden/>
    <w:unhideWhenUsed/>
    <w:pPr>
      <w:spacing w:after="240"/>
    </w:pPr>
    <w:rPr>
      <w:b/>
    </w:rPr>
  </w:style>
  <w:style w:type="paragraph" w:styleId="TOC1">
    <w:name w:val="toc 1"/>
    <w:basedOn w:val="Normal"/>
    <w:next w:val="Normal"/>
    <w:autoRedefine/>
    <w:semiHidden/>
    <w:unhideWhenUsed/>
    <w:pPr>
      <w:tabs>
        <w:tab w:val="left" w:pos="2160"/>
      </w:tabs>
    </w:pPr>
  </w:style>
  <w:style w:type="paragraph" w:styleId="TOC2">
    <w:name w:val="toc 2"/>
    <w:basedOn w:val="Normal"/>
    <w:next w:val="Normal"/>
    <w:autoRedefine/>
    <w:semiHidden/>
    <w:unhideWhenUsed/>
    <w:pPr>
      <w:tabs>
        <w:tab w:val="left" w:pos="2160"/>
      </w:tabs>
      <w:ind w:left="720"/>
    </w:pPr>
    <w:rPr>
      <w:color w:val="000000"/>
    </w:rPr>
  </w:style>
  <w:style w:type="paragraph" w:styleId="TOC3">
    <w:name w:val="toc 3"/>
    <w:basedOn w:val="Normal"/>
    <w:next w:val="Normal"/>
    <w:autoRedefine/>
    <w:semiHidden/>
    <w:unhideWhenUsed/>
    <w:pPr>
      <w:tabs>
        <w:tab w:val="left" w:pos="2160"/>
      </w:tabs>
      <w:ind w:left="1440"/>
    </w:pPr>
  </w:style>
  <w:style w:type="paragraph" w:styleId="TOC4">
    <w:name w:val="toc 4"/>
    <w:basedOn w:val="Normal"/>
    <w:next w:val="Normal"/>
    <w:autoRedefine/>
    <w:semiHidden/>
    <w:unhideWhenUsed/>
    <w:pPr>
      <w:ind w:left="2160"/>
    </w:pPr>
  </w:style>
  <w:style w:type="paragraph" w:styleId="TOC5">
    <w:name w:val="toc 5"/>
    <w:basedOn w:val="Normal"/>
    <w:next w:val="Normal"/>
    <w:autoRedefine/>
    <w:semiHidden/>
    <w:unhideWhenUsed/>
    <w:pPr>
      <w:ind w:left="2880"/>
    </w:pPr>
  </w:style>
  <w:style w:type="paragraph" w:styleId="TOC6">
    <w:name w:val="toc 6"/>
    <w:basedOn w:val="Normal"/>
    <w:next w:val="Normal"/>
    <w:autoRedefine/>
    <w:semiHidden/>
    <w:unhideWhenUsed/>
    <w:pPr>
      <w:ind w:left="3600"/>
    </w:pPr>
  </w:style>
  <w:style w:type="paragraph" w:styleId="TOC7">
    <w:name w:val="toc 7"/>
    <w:basedOn w:val="Normal"/>
    <w:next w:val="Normal"/>
    <w:autoRedefine/>
    <w:semiHidden/>
    <w:unhideWhenUsed/>
    <w:pPr>
      <w:ind w:left="4320"/>
    </w:pPr>
  </w:style>
  <w:style w:type="paragraph" w:styleId="TOC8">
    <w:name w:val="toc 8"/>
    <w:basedOn w:val="Normal"/>
    <w:next w:val="Normal"/>
    <w:autoRedefine/>
    <w:semiHidden/>
    <w:unhideWhenUsed/>
    <w:pPr>
      <w:ind w:left="5040"/>
    </w:pPr>
  </w:style>
  <w:style w:type="paragraph" w:styleId="TOC9">
    <w:name w:val="toc 9"/>
    <w:basedOn w:val="Normal"/>
    <w:next w:val="Normal"/>
    <w:autoRedefine/>
    <w:semiHidden/>
    <w:unhideWhenUsed/>
    <w:pPr>
      <w:ind w:left="5760"/>
    </w:pPr>
  </w:style>
  <w:style w:type="paragraph" w:styleId="BlockTextJustified" w:customStyle="1">
    <w:name w:val="Block Text Justified"/>
    <w:basedOn w:val="Normal"/>
    <w:pPr>
      <w:spacing w:after="240"/>
      <w:ind w:left="1440" w:right="1440"/>
      <w:jc w:val="both"/>
    </w:pPr>
  </w:style>
  <w:style w:type="paragraph" w:styleId="BodyCenter" w:customStyle="1">
    <w:name w:val="Body Center"/>
    <w:basedOn w:val="Normal"/>
    <w:pPr>
      <w:spacing w:after="240"/>
      <w:jc w:val="center"/>
    </w:pPr>
  </w:style>
  <w:style w:type="paragraph" w:styleId="BodyRight" w:customStyle="1">
    <w:name w:val="Body Right"/>
    <w:basedOn w:val="Normal"/>
    <w:pPr>
      <w:spacing w:after="240"/>
      <w:jc w:val="right"/>
    </w:pPr>
  </w:style>
  <w:style w:type="paragraph" w:styleId="BodyTextJustified" w:customStyle="1">
    <w:name w:val="Body Text Justified"/>
    <w:basedOn w:val="Normal"/>
    <w:pPr>
      <w:spacing w:after="240"/>
      <w:ind w:firstLine="1440"/>
      <w:jc w:val="both"/>
    </w:pPr>
  </w:style>
  <w:style w:type="paragraph" w:styleId="Signature2" w:customStyle="1">
    <w:name w:val="Signature 2"/>
    <w:basedOn w:val="Normal"/>
    <w:pPr>
      <w:spacing w:after="240"/>
      <w:ind w:left="5040"/>
    </w:pPr>
  </w:style>
  <w:style w:type="paragraph" w:styleId="Subtitle2Left" w:customStyle="1">
    <w:name w:val="Subtitle 2 Left"/>
    <w:basedOn w:val="Normal"/>
    <w:pPr>
      <w:keepNext/>
      <w:spacing w:after="240"/>
    </w:pPr>
    <w:rPr>
      <w:u w:val="single"/>
    </w:rPr>
  </w:style>
  <w:style w:type="paragraph" w:styleId="TableHeading" w:customStyle="1">
    <w:name w:val="Table Heading"/>
    <w:basedOn w:val="Normal"/>
    <w:pPr>
      <w:keepNext/>
      <w:pBdr>
        <w:bottom w:val="single" w:color="auto" w:sz="4" w:space="1"/>
      </w:pBdr>
      <w:jc w:val="center"/>
    </w:pPr>
    <w:rPr>
      <w:b/>
    </w:rPr>
  </w:style>
  <w:style w:type="paragraph" w:styleId="TableTextIndent" w:customStyle="1">
    <w:name w:val="Table Text Indent"/>
    <w:basedOn w:val="Normal"/>
    <w:pPr>
      <w:ind w:left="720" w:hanging="360"/>
    </w:pPr>
  </w:style>
  <w:style w:type="paragraph" w:styleId="TITLE2" w:customStyle="1">
    <w:name w:val="TITLE 2"/>
    <w:basedOn w:val="Normal"/>
    <w:semiHidden/>
    <w:unhideWhenUsed/>
    <w:pPr>
      <w:spacing w:after="240"/>
      <w:jc w:val="center"/>
    </w:pPr>
    <w:rPr>
      <w:caps/>
      <w:szCs w:val="24"/>
    </w:rPr>
  </w:style>
  <w:style w:type="paragraph" w:styleId="Quote">
    <w:name w:val="Quote"/>
    <w:basedOn w:val="Normal"/>
    <w:next w:val="Normal"/>
    <w:link w:val="QuoteChar"/>
    <w:rsid w:val="009468F8"/>
    <w:pPr>
      <w:spacing w:before="160" w:after="160"/>
      <w:jc w:val="center"/>
    </w:pPr>
    <w:rPr>
      <w:i/>
      <w:iCs/>
      <w:color w:val="404040" w:themeColor="text1" w:themeTint="BF"/>
    </w:rPr>
  </w:style>
  <w:style w:type="character" w:styleId="QuoteChar" w:customStyle="1">
    <w:name w:val="Quote Char"/>
    <w:basedOn w:val="DefaultParagraphFont"/>
    <w:link w:val="Quote"/>
    <w:rsid w:val="009468F8"/>
    <w:rPr>
      <w:i/>
      <w:iCs/>
      <w:color w:val="404040" w:themeColor="text1" w:themeTint="BF"/>
      <w:sz w:val="24"/>
    </w:rPr>
  </w:style>
  <w:style w:type="paragraph" w:styleId="ListParagraph">
    <w:name w:val="List Paragraph"/>
    <w:basedOn w:val="Normal"/>
    <w:rsid w:val="009468F8"/>
    <w:pPr>
      <w:ind w:left="720"/>
      <w:contextualSpacing/>
    </w:pPr>
  </w:style>
  <w:style w:type="character" w:styleId="IntenseEmphasis">
    <w:name w:val="Intense Emphasis"/>
    <w:basedOn w:val="DefaultParagraphFont"/>
    <w:rsid w:val="009468F8"/>
    <w:rPr>
      <w:i/>
      <w:iCs/>
      <w:color w:val="365F91" w:themeColor="accent1" w:themeShade="BF"/>
    </w:rPr>
  </w:style>
  <w:style w:type="paragraph" w:styleId="IntenseQuote">
    <w:name w:val="Intense Quote"/>
    <w:basedOn w:val="Normal"/>
    <w:next w:val="Normal"/>
    <w:link w:val="IntenseQuoteChar"/>
    <w:rsid w:val="009468F8"/>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rsid w:val="009468F8"/>
    <w:rPr>
      <w:i/>
      <w:iCs/>
      <w:color w:val="365F91" w:themeColor="accent1" w:themeShade="BF"/>
      <w:sz w:val="24"/>
    </w:rPr>
  </w:style>
  <w:style w:type="character" w:styleId="IntenseReference">
    <w:name w:val="Intense Reference"/>
    <w:basedOn w:val="DefaultParagraphFont"/>
    <w:rsid w:val="009468F8"/>
    <w:rPr>
      <w:b/>
      <w:bCs/>
      <w:smallCaps/>
      <w:color w:val="365F91" w:themeColor="accent1" w:themeShade="BF"/>
      <w:spacing w:val="5"/>
    </w:rPr>
  </w:style>
  <w:style w:type="character" w:styleId="FooterChar" w:customStyle="1">
    <w:name w:val="Footer Char"/>
    <w:basedOn w:val="DefaultParagraphFont"/>
    <w:link w:val="Footer"/>
    <w:uiPriority w:val="99"/>
    <w:rsid w:val="004B0B88"/>
    <w:rPr>
      <w:sz w:val="24"/>
    </w:rPr>
  </w:style>
  <w:style w:type="paragraph" w:styleId="Revision">
    <w:name w:val="Revision"/>
    <w:hidden/>
    <w:semiHidden/>
    <w:rsid w:val="003D2A2A"/>
    <w:rPr>
      <w:sz w:val="24"/>
    </w:rPr>
  </w:style>
  <w:style w:type="character" w:styleId="UnresolvedMention">
    <w:name w:val="Unresolved Mention"/>
    <w:basedOn w:val="DefaultParagraphFont"/>
    <w:uiPriority w:val="99"/>
    <w:semiHidden/>
    <w:unhideWhenUsed/>
    <w:rsid w:val="00B04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pgov.law.harvard.edu/2025/11/28/merger-agreements-are-too-long/"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hart" Target="charts/chart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chart" Target="charts/chart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chart" Target="charts/chart1.xml" Id="rId10" /><Relationship Type="http://schemas.openxmlformats.org/officeDocument/2006/relationships/settings" Target="settings.xml" Id="rId4" /><Relationship Type="http://schemas.openxmlformats.org/officeDocument/2006/relationships/hyperlink" Target="https://corpgov.law.harvard.edu/2026/07/21/disclosure-schedules-are-a-waste-of-money/" TargetMode="External" Id="rId9" /><Relationship Type="http://schemas.openxmlformats.org/officeDocument/2006/relationships/header" Target="header1.xml" Id="rId14" /></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inag\Desktop\Supp.%20Disclosures\Supplemental%20Disclosure%20Project%20-%20Visuals%20(08.04.26).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nag\Desktop\Supplemental%20Disclosure%20Project%20-%20Visuals%20(08.04.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nag\Desktop\Supp.%20Disclosures\Supplemental%20Disclosure%20Project%20-%20Visuals%20(08.04.26).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chart1.xml><?xml version="1.0" encoding="utf-8"?>
<c:chartSpace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sz="1200" b="1" i="0" u="none" strike="noStrike" kern="1200" baseline="0">
                <a:solidFill>
                  <a:sysClr val="windowText" lastClr="000000"/>
                </a:solidFill>
                <a:latin typeface="Garamond" panose="02020404030301010803" pitchFamily="18" charset="0"/>
              </a:rPr>
              <a:t>Disclosure Challenges by Plaintiffs’ Counsel</a:t>
            </a:r>
          </a:p>
        </c:rich>
      </c:tx>
      <c:overlay val="0"/>
      <c:spPr>
        <a:noFill/>
        <a:ln>
          <a:noFill/>
        </a:ln>
        <a:effectLst/>
      </c:spPr>
    </c:title>
    <c:autoTitleDeleted val="0"/>
    <c:plotArea>
      <c:layout>
        <c:manualLayout>
          <c:layoutTarget val="inner"/>
          <c:xMode val="edge"/>
          <c:yMode val="edge"/>
          <c:x val="0.17374470018170807"/>
          <c:y val="0.14261899447575471"/>
          <c:w val="0.81050121138703812"/>
          <c:h val="0.81840438591596454"/>
        </c:manualLayout>
      </c:layout>
      <c:barChart>
        <c:barDir val="bar"/>
        <c:grouping val="clustered"/>
        <c:varyColors val="0"/>
        <c:ser>
          <c:idx val="0"/>
          <c:order val="0"/>
          <c:tx>
            <c:strRef>
              <c:f>Sheet1!$C$4</c:f>
              <c:strCache>
                <c:ptCount val="1"/>
                <c:pt idx="0">
                  <c:v>% of 51 Sampled Deals</c:v>
                </c:pt>
              </c:strCache>
            </c:strRef>
          </c:tx>
          <c:spPr>
            <a:solidFill>
              <a:srgbClr val="4E302F"/>
            </a:solidFill>
          </c:spPr>
          <c:invertIfNegative val="0"/>
          <c:dPt>
            <c:idx val="0"/>
            <c:invertIfNegative val="0"/>
            <c:bubble3D val="0"/>
            <c:spPr>
              <a:solidFill>
                <a:srgbClr val="4E302F"/>
              </a:solidFill>
              <a:ln w="19050">
                <a:solidFill>
                  <a:schemeClr val="lt1"/>
                </a:solidFill>
              </a:ln>
              <a:effectLst/>
            </c:spPr>
            <c:extLst>
              <c:ext xmlns:c16="http://schemas.microsoft.com/office/drawing/2014/chart" uri="{C3380CC4-5D6E-409C-BE32-E72D297353CC}">
                <c16:uniqueId val="{00000001-0126-4672-AF06-0578992E10C9}"/>
              </c:ext>
            </c:extLst>
          </c:dPt>
          <c:dPt>
            <c:idx val="1"/>
            <c:invertIfNegative val="0"/>
            <c:bubble3D val="0"/>
            <c:spPr>
              <a:solidFill>
                <a:srgbClr val="7B514A"/>
              </a:solidFill>
              <a:ln w="19050">
                <a:solidFill>
                  <a:schemeClr val="lt1"/>
                </a:solidFill>
              </a:ln>
              <a:effectLst/>
            </c:spPr>
            <c:extLst>
              <c:ext xmlns:c16="http://schemas.microsoft.com/office/drawing/2014/chart" uri="{C3380CC4-5D6E-409C-BE32-E72D297353CC}">
                <c16:uniqueId val="{00000003-0126-4672-AF06-0578992E10C9}"/>
              </c:ext>
            </c:extLst>
          </c:dPt>
          <c:dPt>
            <c:idx val="2"/>
            <c:invertIfNegative val="0"/>
            <c:bubble3D val="0"/>
            <c:spPr>
              <a:solidFill>
                <a:srgbClr val="B77A50"/>
              </a:solidFill>
              <a:ln w="19050">
                <a:solidFill>
                  <a:schemeClr val="lt1"/>
                </a:solidFill>
              </a:ln>
              <a:effectLst/>
            </c:spPr>
            <c:extLst>
              <c:ext xmlns:c16="http://schemas.microsoft.com/office/drawing/2014/chart" uri="{C3380CC4-5D6E-409C-BE32-E72D297353CC}">
                <c16:uniqueId val="{00000005-0126-4672-AF06-0578992E10C9}"/>
              </c:ext>
            </c:extLst>
          </c:dPt>
          <c:dLbls>
            <c:dLbl>
              <c:idx val="0"/>
              <c:layout>
                <c:manualLayout>
                  <c:x val="-6.3875429032909372E-3"/>
                  <c:y val="3.1139805585243671E-3"/>
                </c:manualLayout>
              </c:layout>
              <c:spPr>
                <a:xfrm>
                  <a:off x="5143550" y="630382"/>
                  <a:ext cx="299846" cy="244475"/>
                </a:xfrm>
                <a:solidFill>
                  <a:sysClr val="window" lastClr="FFFFFF"/>
                </a:solid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34228"/>
                        <a:gd name="adj2" fmla="val 14817"/>
                      </a:avLst>
                    </a:prstGeom>
                  </c15:spPr>
                  <c15:layout>
                    <c:manualLayout>
                      <c:w val="5.6858974358974357E-2"/>
                      <c:h val="0.11195752539242844"/>
                    </c:manualLayout>
                  </c15:layout>
                </c:ext>
                <c:ext xmlns:c16="http://schemas.microsoft.com/office/drawing/2014/chart" uri="{C3380CC4-5D6E-409C-BE32-E72D297353CC}">
                  <c16:uniqueId val="{00000001-0126-4672-AF06-0578992E10C9}"/>
                </c:ext>
              </c:extLst>
            </c:dLbl>
            <c:dLbl>
              <c:idx val="1"/>
              <c:layout>
                <c:manualLayout>
                  <c:x val="-5.6450635978195817E-3"/>
                  <c:y val="-1.6340582080971025E-4"/>
                </c:manualLayout>
              </c:layout>
              <c:spPr>
                <a:no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layout>
                    <c:manualLayout>
                      <c:w val="6.3722827915741298E-2"/>
                      <c:h val="0.11654888360561576"/>
                    </c:manualLayout>
                  </c15:layout>
                </c:ext>
                <c:ext xmlns:c16="http://schemas.microsoft.com/office/drawing/2014/chart" uri="{C3380CC4-5D6E-409C-BE32-E72D297353CC}">
                  <c16:uniqueId val="{00000003-0126-4672-AF06-0578992E10C9}"/>
                </c:ext>
              </c:extLst>
            </c:dLbl>
            <c:dLbl>
              <c:idx val="2"/>
              <c:layout>
                <c:manualLayout>
                  <c:x val="-1.5398916481593648E-3"/>
                  <c:y val="-1.0069724663918396E-4"/>
                </c:manualLayout>
              </c:layout>
              <c:spPr>
                <a:solidFill>
                  <a:sysClr val="window" lastClr="FFFFFF"/>
                </a:solidFill>
                <a:ln>
                  <a:noFill/>
                </a:ln>
                <a:effectLst/>
              </c:spPr>
              <c:txPr>
                <a:bodyPr rot="0" vert="horz"/>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5296"/>
                        <a:gd name="adj2" fmla="val -7794"/>
                      </a:avLst>
                    </a:prstGeom>
                  </c15:spPr>
                  <c15:layout>
                    <c:manualLayout>
                      <c:w val="5.0448717948717942E-2"/>
                      <c:h val="0.12119113573407202"/>
                    </c:manualLayout>
                  </c15:layout>
                </c:ext>
                <c:ext xmlns:c16="http://schemas.microsoft.com/office/drawing/2014/chart" uri="{C3380CC4-5D6E-409C-BE32-E72D297353CC}">
                  <c16:uniqueId val="{00000005-0126-4672-AF06-0578992E10C9}"/>
                </c:ext>
              </c:extLst>
            </c:dLbl>
            <c:spPr>
              <a:solidFill>
                <a:sysClr val="window" lastClr="FFFFFF"/>
              </a:solid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Sheet1!$B$5:$B$7</c:f>
              <c:strCache>
                <c:ptCount val="3"/>
                <c:pt idx="0">
                  <c:v>Acocelli Law, PLLC</c:v>
                </c:pt>
                <c:pt idx="1">
                  <c:v>All Other 
Law Firms</c:v>
                </c:pt>
                <c:pt idx="2">
                  <c:v>The Brualdi
Law Firm, P.C.</c:v>
                </c:pt>
              </c:strCache>
              <c:extLst/>
            </c:strRef>
          </c:cat>
          <c:val>
            <c:numRef>
              <c:f>Sheet1!$C$5:$C$7</c:f>
              <c:numCache>
                <c:formatCode>0%</c:formatCode>
                <c:ptCount val="3"/>
                <c:pt idx="0">
                  <c:v>0.77319587628865982</c:v>
                </c:pt>
                <c:pt idx="1">
                  <c:v>0.50515463917525771</c:v>
                </c:pt>
                <c:pt idx="2">
                  <c:v>0.1134020618556701</c:v>
                </c:pt>
              </c:numCache>
              <c:extLst/>
            </c:numRef>
          </c:val>
          <c:extLst>
            <c:ext xmlns:c16="http://schemas.microsoft.com/office/drawing/2014/chart" uri="{C3380CC4-5D6E-409C-BE32-E72D297353CC}">
              <c16:uniqueId val="{00000006-0126-4672-AF06-0578992E10C9}"/>
            </c:ext>
          </c:extLst>
        </c:ser>
        <c:dLbls>
          <c:showLegendKey val="0"/>
          <c:showVal val="0"/>
          <c:showCatName val="0"/>
          <c:showSerName val="0"/>
          <c:showPercent val="0"/>
          <c:showBubbleSize val="0"/>
        </c:dLbls>
        <c:gapWidth val="200"/>
        <c:axId val="470799600"/>
        <c:axId val="340417744"/>
      </c:barChart>
      <c:valAx>
        <c:axId val="340417744"/>
        <c:scaling>
          <c:orientation val="minMax"/>
        </c:scaling>
        <c:delete val="1"/>
        <c:axPos val="t"/>
        <c:majorGridlines>
          <c:spPr>
            <a:ln>
              <a:noFill/>
            </a:ln>
          </c:spPr>
        </c:majorGridlines>
        <c:numFmt formatCode="0%" sourceLinked="1"/>
        <c:majorTickMark val="none"/>
        <c:minorTickMark val="none"/>
        <c:tickLblPos val="none"/>
        <c:crossAx val="470799600"/>
        <c:crosses val="autoZero"/>
        <c:crossBetween val="between"/>
      </c:valAx>
      <c:catAx>
        <c:axId val="470799600"/>
        <c:scaling>
          <c:orientation val="maxMin"/>
        </c:scaling>
        <c:delete val="0"/>
        <c:axPos val="l"/>
        <c:numFmt formatCode="General" sourceLinked="1"/>
        <c:majorTickMark val="none"/>
        <c:minorTickMark val="none"/>
        <c:tickLblPos val="nextTo"/>
        <c:crossAx val="340417744"/>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1">
    <c:autoUpdate val="0"/>
  </c:externalData>
  <c:userShapes r:id="rId2"/>
</c:chartSpace>
</file>

<file path=word/charts/chart2.xml><?xml version="1.0" encoding="utf-8"?>
<c:chartSpace xmlns:mc="http://schemas.openxmlformats.org/markup-compatibility/2006" xmlns:c14="http://schemas.microsoft.com/office/drawing/2007/8/2/chart" xmlns:c16="http://schemas.microsoft.com/office/drawing/2014/chart" xmlns:c15="http://schemas.microsoft.com/office/drawing/2012/chart"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800" b="1" i="0" u="none" strike="noStrike" kern="1200" spc="0" baseline="0">
                <a:solidFill>
                  <a:schemeClr val="tx1"/>
                </a:solidFill>
                <a:latin typeface="Garamond" panose="02020404030301010803" pitchFamily="18" charset="0"/>
                <a:ea typeface="+mn-ea"/>
                <a:cs typeface="+mn-cs"/>
              </a:defRPr>
            </a:pPr>
            <a:r>
              <a:rPr lang="en-US" sz="1200" b="1">
                <a:solidFill>
                  <a:schemeClr val="tx1"/>
                </a:solidFill>
              </a:rPr>
              <a:t>Alleged Disclosure Deficiencies</a:t>
            </a:r>
            <a:r>
              <a:rPr lang="en-US" sz="1200" b="1" baseline="0">
                <a:solidFill>
                  <a:schemeClr val="tx1"/>
                </a:solidFill>
              </a:rPr>
              <a:t> by Category</a:t>
            </a:r>
            <a:endParaRPr lang="en-US" sz="1200" b="1">
              <a:solidFill>
                <a:schemeClr val="tx1"/>
              </a:solidFill>
            </a:endParaRPr>
          </a:p>
        </c:rich>
      </c:tx>
      <c:layout>
        <c:manualLayout>
          <c:xMode val="edge"/>
          <c:yMode val="edge"/>
          <c:x val="0.23837287166027324"/>
          <c:y val="3.1507936507936506E-2"/>
        </c:manualLayout>
      </c:layout>
      <c:overlay val="0"/>
      <c:spPr>
        <a:noFill/>
        <a:ln>
          <a:noFill/>
        </a:ln>
        <a:effectLst/>
      </c:spPr>
      <c:txPr>
        <a:bodyPr rot="0" spcFirstLastPara="1" vertOverflow="ellipsis" vert="horz" wrap="square" anchor="ctr" anchorCtr="1"/>
        <a:lstStyle/>
        <a:p>
          <a:pPr algn="ctr" rtl="0">
            <a:defRPr sz="1800" b="1" i="0" u="none" strike="noStrike" kern="1200" spc="0" baseline="0">
              <a:solidFill>
                <a:schemeClr val="tx1"/>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30896089911837943"/>
          <c:y val="0.18985595550556181"/>
          <c:w val="0.37139444107948044"/>
          <c:h val="0.68973253343332086"/>
        </c:manualLayout>
      </c:layout>
      <c:pieChart>
        <c:varyColors val="1"/>
        <c:ser>
          <c:idx val="0"/>
          <c:order val="0"/>
          <c:tx>
            <c:strRef>
              <c:f>Sheet1!$C$56</c:f>
              <c:strCache>
                <c:ptCount val="1"/>
                <c:pt idx="0">
                  <c:v>Share of Allegedly Inadequate Disclosures</c:v>
                </c:pt>
              </c:strCache>
            </c:strRef>
          </c:tx>
          <c:dPt>
            <c:idx val="0"/>
            <c:bubble3D val="0"/>
            <c:spPr>
              <a:solidFill>
                <a:srgbClr val="4E302F"/>
              </a:solidFill>
              <a:ln w="19050">
                <a:solidFill>
                  <a:schemeClr val="lt1"/>
                </a:solidFill>
              </a:ln>
              <a:effectLst/>
            </c:spPr>
            <c:extLst>
              <c:ext xmlns:c16="http://schemas.microsoft.com/office/drawing/2014/chart" uri="{C3380CC4-5D6E-409C-BE32-E72D297353CC}">
                <c16:uniqueId val="{00000001-C611-4AFD-9938-D53DFBC91A05}"/>
              </c:ext>
            </c:extLst>
          </c:dPt>
          <c:dPt>
            <c:idx val="1"/>
            <c:bubble3D val="0"/>
            <c:spPr>
              <a:solidFill>
                <a:srgbClr val="7B514A"/>
              </a:solidFill>
              <a:ln w="19050">
                <a:solidFill>
                  <a:schemeClr val="lt1"/>
                </a:solidFill>
              </a:ln>
              <a:effectLst/>
            </c:spPr>
            <c:extLst>
              <c:ext xmlns:c16="http://schemas.microsoft.com/office/drawing/2014/chart" uri="{C3380CC4-5D6E-409C-BE32-E72D297353CC}">
                <c16:uniqueId val="{00000003-C611-4AFD-9938-D53DFBC91A05}"/>
              </c:ext>
            </c:extLst>
          </c:dPt>
          <c:dPt>
            <c:idx val="2"/>
            <c:bubble3D val="0"/>
            <c:spPr>
              <a:solidFill>
                <a:srgbClr val="B77A50"/>
              </a:solidFill>
              <a:ln w="19050">
                <a:solidFill>
                  <a:schemeClr val="lt1"/>
                </a:solidFill>
              </a:ln>
              <a:effectLst/>
            </c:spPr>
            <c:extLst>
              <c:ext xmlns:c16="http://schemas.microsoft.com/office/drawing/2014/chart" uri="{C3380CC4-5D6E-409C-BE32-E72D297353CC}">
                <c16:uniqueId val="{00000005-C611-4AFD-9938-D53DFBC91A05}"/>
              </c:ext>
            </c:extLst>
          </c:dPt>
          <c:dPt>
            <c:idx val="3"/>
            <c:bubble3D val="0"/>
            <c:spPr>
              <a:solidFill>
                <a:srgbClr val="D8C3B3"/>
              </a:solidFill>
              <a:ln w="19050">
                <a:solidFill>
                  <a:schemeClr val="lt1"/>
                </a:solidFill>
              </a:ln>
              <a:effectLst/>
            </c:spPr>
            <c:extLst>
              <c:ext xmlns:c16="http://schemas.microsoft.com/office/drawing/2014/chart" uri="{C3380CC4-5D6E-409C-BE32-E72D297353CC}">
                <c16:uniqueId val="{00000007-C611-4AFD-9938-D53DFBC91A05}"/>
              </c:ext>
            </c:extLst>
          </c:dPt>
          <c:dLbls>
            <c:dLbl>
              <c:idx val="0"/>
              <c:layout>
                <c:manualLayout>
                  <c:x val="-3.0645820714718351E-2"/>
                  <c:y val="9.8917836858025913E-3"/>
                </c:manualLayout>
              </c:layout>
              <c:tx>
                <c:rich>
                  <a:bodyPr/>
                  <a:lstStyle/>
                  <a:p>
                    <a:fld id="{7D035A64-F204-48F2-BBF8-D8C91DDB5B35}" type="CATEGORYNAME">
                      <a:rPr lang="en-US"/>
                      <a:pPr/>
                      <a:t>[CATEGORY NAME]</a:t>
                    </a:fld>
                    <a:r>
                      <a:rPr lang="en-US" baseline="0"/>
                      <a:t>
</a:t>
                    </a:r>
                    <a:fld id="{A6D443A1-36E7-4FC9-80F3-3459460060FD}"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7811107746147112"/>
                      <c:h val="0.31422043625369889"/>
                    </c:manualLayout>
                  </c15:layout>
                  <c15:dlblFieldTable/>
                  <c15:showDataLabelsRange val="0"/>
                </c:ext>
                <c:ext xmlns:c16="http://schemas.microsoft.com/office/drawing/2014/chart" uri="{C3380CC4-5D6E-409C-BE32-E72D297353CC}">
                  <c16:uniqueId val="{00000001-C611-4AFD-9938-D53DFBC91A05}"/>
                </c:ext>
              </c:extLst>
            </c:dLbl>
            <c:dLbl>
              <c:idx val="1"/>
              <c:layout>
                <c:manualLayout>
                  <c:x val="-3.5926879332391186E-2"/>
                  <c:y val="-0.10553697760831912"/>
                </c:manualLayout>
              </c:layout>
              <c:spPr>
                <a:xfrm>
                  <a:off x="1742576" y="3574900"/>
                  <a:ext cx="708661" cy="554074"/>
                </a:xfrm>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Garamond" panose="020204040303010108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573"/>
                        <a:gd name="adj2" fmla="val -60824"/>
                      </a:avLst>
                    </a:prstGeom>
                    <a:noFill/>
                    <a:ln>
                      <a:noFill/>
                    </a:ln>
                  </c15:spPr>
                  <c15:layout>
                    <c:manualLayout>
                      <c:w val="0.14157648563160374"/>
                      <c:h val="0.16088241306285311"/>
                    </c:manualLayout>
                  </c15:layout>
                </c:ext>
                <c:ext xmlns:c16="http://schemas.microsoft.com/office/drawing/2014/chart" uri="{C3380CC4-5D6E-409C-BE32-E72D297353CC}">
                  <c16:uniqueId val="{00000003-C611-4AFD-9938-D53DFBC91A05}"/>
                </c:ext>
              </c:extLst>
            </c:dLbl>
            <c:dLbl>
              <c:idx val="2"/>
              <c:layout>
                <c:manualLayout>
                  <c:x val="-6.41025641025641E-3"/>
                  <c:y val="2.49221183800623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11-4AFD-9938-D53DFBC91A05}"/>
                </c:ext>
              </c:extLst>
            </c:dLbl>
            <c:dLbl>
              <c:idx val="3"/>
              <c:layout>
                <c:manualLayout>
                  <c:x val="6.4079850595598634E-2"/>
                  <c:y val="3.27315284670260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099182313749243"/>
                      <c:h val="0.14383332924505934"/>
                    </c:manualLayout>
                  </c15:layout>
                </c:ext>
                <c:ext xmlns:c16="http://schemas.microsoft.com/office/drawing/2014/chart" uri="{C3380CC4-5D6E-409C-BE32-E72D297353CC}">
                  <c16:uniqueId val="{00000007-C611-4AFD-9938-D53DFBC91A05}"/>
                </c:ext>
              </c:extLst>
            </c:dLbl>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Garamond" panose="02020404030301010803" pitchFamily="18" charset="0"/>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Sheet1!$B$57:$B$60</c:f>
              <c:strCache>
                <c:ptCount val="4"/>
                <c:pt idx="0">
                  <c:v>Financial-Advisor Analyses or Management Projections</c:v>
                </c:pt>
                <c:pt idx="1">
                  <c:v>Conflicts of Interest</c:v>
                </c:pt>
                <c:pt idx="2">
                  <c:v>Other</c:v>
                </c:pt>
                <c:pt idx="3">
                  <c:v>Transaction Process</c:v>
                </c:pt>
              </c:strCache>
            </c:strRef>
          </c:cat>
          <c:val>
            <c:numRef>
              <c:f>Sheet1!$C$57:$C$60</c:f>
              <c:numCache>
                <c:formatCode>0%</c:formatCode>
                <c:ptCount val="4"/>
                <c:pt idx="0">
                  <c:v>0.47380585516178736</c:v>
                </c:pt>
                <c:pt idx="1">
                  <c:v>0.31741140215716485</c:v>
                </c:pt>
                <c:pt idx="2">
                  <c:v>0.1271186440677966</c:v>
                </c:pt>
                <c:pt idx="3">
                  <c:v>8.1664098613251149E-2</c:v>
                </c:pt>
              </c:numCache>
            </c:numRef>
          </c:val>
          <c:extLst>
            <c:ext xmlns:c16="http://schemas.microsoft.com/office/drawing/2014/chart" uri="{C3380CC4-5D6E-409C-BE32-E72D297353CC}">
              <c16:uniqueId val="{00000008-C611-4AFD-9938-D53DFBC91A05}"/>
            </c:ext>
          </c:extLst>
        </c:ser>
        <c:dLbls>
          <c:showLegendKey val="0"/>
          <c:showVal val="0"/>
          <c:showCatName val="0"/>
          <c:showSerName val="0"/>
          <c:showPercent val="0"/>
          <c:showBubbleSize val="0"/>
          <c:showLeaderLines val="0"/>
        </c:dLbls>
        <c:firstSliceAng val="35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3">
    <c:autoUpdate val="0"/>
  </c:externalData>
  <c:userShapes r:id="rId4"/>
</c:chartSpace>
</file>

<file path=word/charts/chart3.xml><?xml version="1.0" encoding="utf-8"?>
<c:chartSpace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800" b="1" i="0" u="none" strike="noStrike" kern="1200" spc="0" baseline="0">
                <a:solidFill>
                  <a:schemeClr val="tx1"/>
                </a:solidFill>
                <a:latin typeface="Garamond" panose="02020404030301010803" pitchFamily="18" charset="0"/>
                <a:ea typeface="+mn-ea"/>
                <a:cs typeface="+mn-cs"/>
              </a:defRPr>
            </a:pPr>
            <a:r>
              <a:rPr lang="en-US" sz="1200" b="1" i="0" u="none" strike="noStrike" baseline="0"/>
              <a:t>Materiality of Supplemental Disclosures </a:t>
            </a:r>
          </a:p>
          <a:p>
            <a:pPr algn="ctr" rtl="0">
              <a:defRPr sz="1800" b="1">
                <a:solidFill>
                  <a:schemeClr val="tx1"/>
                </a:solidFill>
              </a:defRPr>
            </a:pPr>
            <a:r>
              <a:rPr lang="en-US" sz="1200" b="1" i="0" u="none" strike="noStrike" baseline="0"/>
              <a:t>Under Applicable Federal Cases</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lgn="ctr" rtl="0">
            <a:defRPr sz="1800" b="1" i="0" u="none" strike="noStrike" kern="1200" spc="0" baseline="0">
              <a:solidFill>
                <a:schemeClr val="tx1"/>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31283380442829262"/>
          <c:y val="0.21490563679540056"/>
          <c:w val="0.37433239114341477"/>
          <c:h val="0.69518872640919882"/>
        </c:manualLayout>
      </c:layout>
      <c:pieChart>
        <c:varyColors val="1"/>
        <c:ser>
          <c:idx val="0"/>
          <c:order val="0"/>
          <c:tx>
            <c:strRef>
              <c:f>Sheet1!$C$81</c:f>
              <c:strCache>
                <c:ptCount val="1"/>
                <c:pt idx="0">
                  <c:v>Share of Disclosures</c:v>
                </c:pt>
              </c:strCache>
            </c:strRef>
          </c:tx>
          <c:spPr>
            <a:solidFill>
              <a:srgbClr val="583735"/>
            </a:solidFill>
          </c:spPr>
          <c:explosion val="1"/>
          <c:dPt>
            <c:idx val="0"/>
            <c:bubble3D val="0"/>
            <c:spPr>
              <a:solidFill>
                <a:srgbClr val="583735"/>
              </a:solidFill>
              <a:ln w="19050">
                <a:solidFill>
                  <a:schemeClr val="lt1"/>
                </a:solidFill>
              </a:ln>
              <a:effectLst/>
            </c:spPr>
            <c:extLst>
              <c:ext xmlns:c16="http://schemas.microsoft.com/office/drawing/2014/chart" uri="{C3380CC4-5D6E-409C-BE32-E72D297353CC}">
                <c16:uniqueId val="{00000001-2227-49CB-AE26-AB1608469337}"/>
              </c:ext>
            </c:extLst>
          </c:dPt>
          <c:dPt>
            <c:idx val="1"/>
            <c:bubble3D val="0"/>
            <c:spPr>
              <a:solidFill>
                <a:srgbClr val="A58B82"/>
              </a:solidFill>
              <a:ln w="19050">
                <a:solidFill>
                  <a:schemeClr val="lt1"/>
                </a:solidFill>
              </a:ln>
              <a:effectLst/>
            </c:spPr>
            <c:extLst>
              <c:ext xmlns:c16="http://schemas.microsoft.com/office/drawing/2014/chart" uri="{C3380CC4-5D6E-409C-BE32-E72D297353CC}">
                <c16:uniqueId val="{00000003-2227-49CB-AE26-AB1608469337}"/>
              </c:ext>
            </c:extLst>
          </c:dPt>
          <c:dPt>
            <c:idx val="2"/>
            <c:bubble3D val="0"/>
            <c:spPr>
              <a:solidFill>
                <a:srgbClr val="C72C41"/>
              </a:solidFill>
              <a:ln w="19050">
                <a:solidFill>
                  <a:schemeClr val="lt1"/>
                </a:solidFill>
              </a:ln>
              <a:effectLst/>
            </c:spPr>
            <c:extLst>
              <c:ext xmlns:c16="http://schemas.microsoft.com/office/drawing/2014/chart" uri="{C3380CC4-5D6E-409C-BE32-E72D297353CC}">
                <c16:uniqueId val="{00000005-2227-49CB-AE26-AB1608469337}"/>
              </c:ext>
            </c:extLst>
          </c:dPt>
          <c:dLbls>
            <c:dLbl>
              <c:idx val="0"/>
              <c:layout>
                <c:manualLayout>
                  <c:x val="-4.3043105188774404E-2"/>
                  <c:y val="-0.26911261092363453"/>
                </c:manualLayout>
              </c:layout>
              <c:tx>
                <c:rich>
                  <a:bodyPr rot="0" spcFirstLastPara="1" vertOverflow="ellipsis" vert="horz" wrap="square" anchor="ctr" anchorCtr="0"/>
                  <a:lstStyle/>
                  <a:p>
                    <a:pPr algn="ctr">
                      <a:defRPr lang="en-US" sz="1000" b="0" i="0" u="none" strike="noStrike" kern="1200" baseline="0">
                        <a:solidFill>
                          <a:schemeClr val="tx1"/>
                        </a:solidFill>
                        <a:latin typeface="Garamond" panose="02020404030301010803" pitchFamily="18" charset="0"/>
                        <a:ea typeface="+mn-ea"/>
                        <a:cs typeface="+mn-cs"/>
                      </a:defRPr>
                    </a:pPr>
                    <a:fld id="{F7D3E135-1CC0-4F69-8685-53945F458095}" type="CATEGORYNAME">
                      <a:rPr lang="en-US" sz="1000" b="0" i="0" u="none" strike="noStrike" kern="1200" baseline="0">
                        <a:solidFill>
                          <a:schemeClr val="tx1"/>
                        </a:solidFill>
                        <a:latin typeface="Garamond" panose="02020404030301010803" pitchFamily="18" charset="0"/>
                        <a:ea typeface="+mn-ea"/>
                        <a:cs typeface="+mn-cs"/>
                      </a:rPr>
                      <a:pPr algn="ctr">
                        <a:defRPr lang="en-US">
                          <a:solidFill>
                            <a:schemeClr val="tx1"/>
                          </a:solidFill>
                        </a:defRPr>
                      </a:pPr>
                      <a:t>[CATEGORY NAME]</a:t>
                    </a:fld>
                    <a:r>
                      <a:rPr lang="en-US" sz="1000" b="0" i="0" u="none" strike="noStrike" kern="1200" baseline="0">
                        <a:solidFill>
                          <a:schemeClr val="tx1"/>
                        </a:solidFill>
                        <a:latin typeface="Garamond" panose="02020404030301010803" pitchFamily="18" charset="0"/>
                        <a:ea typeface="+mn-ea"/>
                        <a:cs typeface="+mn-cs"/>
                      </a:rPr>
                      <a:t>
</a:t>
                    </a:r>
                    <a:fld id="{A0EE1D20-D7E8-4307-9ADD-3A73D71C1BC3}" type="VALUE">
                      <a:rPr lang="en-US" sz="1000" b="0" i="0" u="none" strike="noStrike" kern="1200" baseline="0">
                        <a:solidFill>
                          <a:schemeClr val="tx1"/>
                        </a:solidFill>
                        <a:latin typeface="Garamond" panose="02020404030301010803" pitchFamily="18" charset="0"/>
                        <a:ea typeface="+mn-ea"/>
                        <a:cs typeface="+mn-cs"/>
                      </a:rPr>
                      <a:pPr algn="ctr">
                        <a:defRPr lang="en-US">
                          <a:solidFill>
                            <a:schemeClr val="tx1"/>
                          </a:solidFill>
                        </a:defRPr>
                      </a:pPr>
                      <a:t>[VALUE]</a:t>
                    </a:fld>
                    <a:endParaRPr lang="en-US" sz="1000" b="0" i="0" u="none" strike="noStrike" kern="1200" baseline="0">
                      <a:solidFill>
                        <a:schemeClr val="tx1"/>
                      </a:solidFill>
                      <a:latin typeface="Garamond" panose="02020404030301010803" pitchFamily="18" charset="0"/>
                      <a:ea typeface="+mn-ea"/>
                      <a:cs typeface="+mn-cs"/>
                    </a:endParaRPr>
                  </a:p>
                </c:rich>
              </c:tx>
              <c:spPr>
                <a:noFill/>
                <a:ln>
                  <a:noFill/>
                </a:ln>
                <a:effectLst/>
              </c:spPr>
              <c:txPr>
                <a:bodyPr rot="0" spcFirstLastPara="1" vertOverflow="ellipsis" vert="horz" wrap="square" anchor="ctr" anchorCtr="0"/>
                <a:lstStyle/>
                <a:p>
                  <a:pPr algn="ctr">
                    <a:defRPr lang="en-US" sz="1000" b="0" i="0" u="none" strike="noStrike" kern="1200" baseline="0">
                      <a:solidFill>
                        <a:schemeClr val="tx1"/>
                      </a:solidFill>
                      <a:latin typeface="Garamond" panose="02020404030301010803" pitchFamily="18" charset="0"/>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12352547277744128"/>
                      <c:h val="0.14146294213223348"/>
                    </c:manualLayout>
                  </c15:layout>
                  <c15:dlblFieldTable/>
                  <c15:showDataLabelsRange val="1"/>
                </c:ext>
                <c:ext xmlns:c16="http://schemas.microsoft.com/office/drawing/2014/chart" uri="{C3380CC4-5D6E-409C-BE32-E72D297353CC}">
                  <c16:uniqueId val="{00000001-2227-49CB-AE26-AB1608469337}"/>
                </c:ext>
              </c:extLst>
            </c:dLbl>
            <c:dLbl>
              <c:idx val="1"/>
              <c:layout>
                <c:manualLayout>
                  <c:x val="3.3287738071202638E-2"/>
                  <c:y val="6.1660729908761404E-2"/>
                </c:manualLayout>
              </c:layout>
              <c:tx>
                <c:rich>
                  <a:bodyPr/>
                  <a:lstStyle/>
                  <a:p>
                    <a:fld id="{7FE213E7-3253-46A4-B705-1269BEC047CD}" type="CATEGORYNAME">
                      <a:rPr lang="en-US" sz="1000">
                        <a:solidFill>
                          <a:schemeClr val="tx1"/>
                        </a:solidFill>
                      </a:rPr>
                      <a:pPr/>
                      <a:t>[CATEGORY NAME]</a:t>
                    </a:fld>
                    <a:endParaRPr lang="en-US" sz="1000" baseline="0">
                      <a:solidFill>
                        <a:schemeClr val="tx1"/>
                      </a:solidFill>
                    </a:endParaRPr>
                  </a:p>
                  <a:p>
                    <a:fld id="{534C9961-B9AE-44CB-B5AA-73923F97DB03}" type="VALUE">
                      <a:rPr lang="en-US" sz="1000" baseline="0">
                        <a:solidFill>
                          <a:schemeClr val="tx1"/>
                        </a:solidFill>
                      </a:rPr>
                      <a:pPr/>
                      <a:t>[VALUE]</a:t>
                    </a:fld>
                    <a:endParaRPr lang="en-US"/>
                  </a:p>
                </c:rich>
              </c:tx>
              <c:showLegendKey val="0"/>
              <c:showVal val="1"/>
              <c:showCatName val="1"/>
              <c:showSerName val="0"/>
              <c:showPercent val="1"/>
              <c:showBubbleSize val="0"/>
              <c:extLst>
                <c:ext xmlns:c15="http://schemas.microsoft.com/office/drawing/2012/chart" uri="{CE6537A1-D6FC-4f65-9D91-7224C49458BB}">
                  <c15:layout>
                    <c:manualLayout>
                      <c:w val="0.18091678444040649"/>
                      <c:h val="0.16827552805899262"/>
                    </c:manualLayout>
                  </c15:layout>
                  <c15:dlblFieldTable/>
                  <c15:showDataLabelsRange val="1"/>
                </c:ext>
                <c:ext xmlns:c16="http://schemas.microsoft.com/office/drawing/2014/chart" uri="{C3380CC4-5D6E-409C-BE32-E72D297353CC}">
                  <c16:uniqueId val="{00000003-2227-49CB-AE26-AB1608469337}"/>
                </c:ext>
              </c:extLst>
            </c:dLbl>
            <c:dLbl>
              <c:idx val="2"/>
              <c:layout>
                <c:manualLayout>
                  <c:x val="6.4304630190456957E-2"/>
                  <c:y val="1.6205318085239326E-2"/>
                </c:manualLayout>
              </c:layout>
              <c:tx>
                <c:rich>
                  <a:bodyPr rot="0" spcFirstLastPara="1" vertOverflow="ellipsis" vert="horz" wrap="square" anchor="ctr" anchorCtr="1"/>
                  <a:lstStyle/>
                  <a:p>
                    <a:pPr>
                      <a:defRPr sz="1000" b="0" i="0" u="none" strike="noStrike" kern="1200" baseline="0">
                        <a:solidFill>
                          <a:schemeClr val="tx1"/>
                        </a:solidFill>
                        <a:latin typeface="Garamond" panose="02020404030301010803" pitchFamily="18" charset="0"/>
                        <a:ea typeface="+mn-ea"/>
                        <a:cs typeface="+mn-cs"/>
                      </a:defRPr>
                    </a:pPr>
                    <a:fld id="{575F8289-4E7A-4DAA-99C4-27C8F9722B1C}" type="CATEGORYNAME">
                      <a:rPr lang="en-US" sz="1000">
                        <a:solidFill>
                          <a:schemeClr val="tx1"/>
                        </a:solidFill>
                      </a:rPr>
                      <a:pPr>
                        <a:defRPr>
                          <a:solidFill>
                            <a:schemeClr val="tx1"/>
                          </a:solidFill>
                        </a:defRPr>
                      </a:pPr>
                      <a:t>[CATEGORY NAME]</a:t>
                    </a:fld>
                    <a:endParaRPr lang="en-US" sz="1000" baseline="0">
                      <a:solidFill>
                        <a:schemeClr val="tx1"/>
                      </a:solidFill>
                    </a:endParaRPr>
                  </a:p>
                  <a:p>
                    <a:pPr>
                      <a:defRPr>
                        <a:solidFill>
                          <a:schemeClr val="tx1"/>
                        </a:solidFill>
                      </a:defRPr>
                    </a:pPr>
                    <a:r>
                      <a:rPr lang="en-US" sz="1000" baseline="0">
                        <a:solidFill>
                          <a:schemeClr val="tx1"/>
                        </a:solidFill>
                      </a:rPr>
                      <a:t>&lt;</a:t>
                    </a:r>
                    <a:fld id="{5EA8C5BC-5180-44F5-A439-82607D4ED5C0}" type="PERCENTAGE">
                      <a:rPr lang="en-US" sz="1000" baseline="0">
                        <a:solidFill>
                          <a:schemeClr val="tx1"/>
                        </a:solidFill>
                      </a:rPr>
                      <a:pPr>
                        <a:defRPr>
                          <a:solidFill>
                            <a:schemeClr val="tx1"/>
                          </a:solidFill>
                        </a:defRPr>
                      </a:pPr>
                      <a:t>[PERCENTAGE]</a:t>
                    </a:fld>
                    <a:endParaRPr lang="en-US" sz="1000" baseline="0">
                      <a:solidFill>
                        <a:schemeClr val="tx1"/>
                      </a:solidFill>
                    </a:endParaRPr>
                  </a:p>
                </c:rich>
              </c:tx>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Garamond" panose="020204040303010108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8137307355811294"/>
                      <c:h val="0.13024496937882762"/>
                    </c:manualLayout>
                  </c15:layout>
                  <c15:dlblFieldTable/>
                  <c15:showDataLabelsRange val="1"/>
                </c:ext>
                <c:ext xmlns:c16="http://schemas.microsoft.com/office/drawing/2014/chart" uri="{C3380CC4-5D6E-409C-BE32-E72D297353CC}">
                  <c16:uniqueId val="{00000005-2227-49CB-AE26-AB160846933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Garamond" panose="02020404030301010803" pitchFamily="18" charset="0"/>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howDataLabelsRange val="1"/>
              </c:ext>
            </c:extLst>
          </c:dLbls>
          <c:cat>
            <c:strRef>
              <c:f>Sheet1!$B$82:$B$84</c:f>
              <c:strCache>
                <c:ptCount val="3"/>
                <c:pt idx="0">
                  <c:v>Not Material</c:v>
                </c:pt>
                <c:pt idx="1">
                  <c:v>Not Directly Addressed</c:v>
                </c:pt>
                <c:pt idx="2">
                  <c:v>Potentially Material</c:v>
                </c:pt>
              </c:strCache>
            </c:strRef>
          </c:cat>
          <c:val>
            <c:numRef>
              <c:f>Sheet1!$C$82:$C$84</c:f>
              <c:numCache>
                <c:formatCode>0.0%</c:formatCode>
                <c:ptCount val="3"/>
                <c:pt idx="0">
                  <c:v>0.76819923371647514</c:v>
                </c:pt>
                <c:pt idx="1">
                  <c:v>0.22988505747126436</c:v>
                </c:pt>
                <c:pt idx="2">
                  <c:v>1.9157088122605363E-3</c:v>
                </c:pt>
              </c:numCache>
            </c:numRef>
          </c:val>
          <c:extLst>
            <c:ext xmlns:c15="http://schemas.microsoft.com/office/drawing/2012/chart" uri="{02D57815-91ED-43cb-92C2-25804820EDAC}">
              <c15:datalabelsRange>
                <c15:f>Sheet1!$C$82:$C$84</c15:f>
                <c15:dlblRangeCache>
                  <c:ptCount val="3"/>
                  <c:pt idx="0">
                    <c:v>76.8%</c:v>
                  </c:pt>
                  <c:pt idx="1">
                    <c:v>23.0%</c:v>
                  </c:pt>
                  <c:pt idx="2">
                    <c:v>0.2%</c:v>
                  </c:pt>
                </c15:dlblRangeCache>
              </c15:datalabelsRange>
            </c:ext>
            <c:ext xmlns:c16="http://schemas.microsoft.com/office/drawing/2014/chart" uri="{C3380CC4-5D6E-409C-BE32-E72D297353CC}">
              <c16:uniqueId val="{00000006-2227-49CB-AE26-AB1608469337}"/>
            </c:ext>
          </c:extLst>
        </c:ser>
        <c:dLbls>
          <c:showLegendKey val="0"/>
          <c:showVal val="0"/>
          <c:showCatName val="0"/>
          <c:showSerName val="0"/>
          <c:showPercent val="0"/>
          <c:showBubbleSize val="0"/>
          <c:showLeaderLines val="0"/>
        </c:dLbls>
        <c:firstSliceAng val="319"/>
      </c:pie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0.58708</cdr:x>
      <cdr:y>0.70699</cdr:y>
    </cdr:from>
    <cdr:to>
      <cdr:x>1</cdr:x>
      <cdr:y>0.98015</cdr:y>
    </cdr:to>
    <cdr:sp macro="" textlink="">
      <cdr:nvSpPr>
        <cdr:cNvPr id="2" name="TextBox 2">
          <a:extLst xmlns:a="http://schemas.openxmlformats.org/drawingml/2006/main">
            <a:ext uri="{FF2B5EF4-FFF2-40B4-BE49-F238E27FC236}">
              <a16:creationId xmlns:a16="http://schemas.microsoft.com/office/drawing/2014/main" id="{94EEA4C9-D953-083C-CECA-A7E432806C54}"/>
            </a:ext>
          </a:extLst>
        </cdr:cNvPr>
        <cdr:cNvSpPr txBox="1"/>
      </cdr:nvSpPr>
      <cdr:spPr>
        <a:xfrm xmlns:a="http://schemas.openxmlformats.org/drawingml/2006/main">
          <a:off x="3489350" y="1944806"/>
          <a:ext cx="2454249" cy="75142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1000" i="1">
              <a:solidFill>
                <a:schemeClr val="dk1"/>
              </a:solidFill>
              <a:effectLst/>
              <a:latin typeface="Garamond" panose="02020404030301010803" pitchFamily="18" charset="0"/>
              <a:ea typeface="+mn-ea"/>
              <a:cs typeface="+mn-cs"/>
            </a:rPr>
            <a:t>We</a:t>
          </a:r>
          <a:r>
            <a:rPr lang="en-US" sz="1000" i="1" baseline="0">
              <a:solidFill>
                <a:schemeClr val="dk1"/>
              </a:solidFill>
              <a:effectLst/>
              <a:latin typeface="Garamond" panose="02020404030301010803" pitchFamily="18" charset="0"/>
              <a:ea typeface="+mn-ea"/>
              <a:cs typeface="+mn-cs"/>
            </a:rPr>
            <a:t> identified </a:t>
          </a:r>
          <a:r>
            <a:rPr lang="en-US" sz="1000" i="1">
              <a:solidFill>
                <a:schemeClr val="dk1"/>
              </a:solidFill>
              <a:effectLst/>
              <a:latin typeface="Garamond" panose="02020404030301010803" pitchFamily="18" charset="0"/>
              <a:ea typeface="+mn-ea"/>
              <a:cs typeface="+mn-cs"/>
            </a:rPr>
            <a:t>97 complaints disclosed in supplemental filings across the 51 sampled deals.  Each firm is counted once for each complaint on which it appears as counsel.  Percentages</a:t>
          </a:r>
          <a:r>
            <a:rPr lang="en-US" sz="1000" i="1" baseline="0">
              <a:solidFill>
                <a:schemeClr val="dk1"/>
              </a:solidFill>
              <a:effectLst/>
              <a:latin typeface="Garamond" panose="02020404030301010803" pitchFamily="18" charset="0"/>
              <a:ea typeface="+mn-ea"/>
              <a:cs typeface="+mn-cs"/>
            </a:rPr>
            <a:t> exceed 100% in the aggregate because multiple firms may appear on a complaint.</a:t>
          </a:r>
          <a:endParaRPr lang="en-US" sz="1000" i="1">
            <a:solidFill>
              <a:schemeClr val="dk1"/>
            </a:solidFill>
            <a:effectLst/>
            <a:latin typeface="Garamond" panose="02020404030301010803" pitchFamily="18" charset="0"/>
            <a:ea typeface="+mn-ea"/>
            <a:cs typeface="+mn-cs"/>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0.00821</cdr:x>
      <cdr:y>0.30243</cdr:y>
    </cdr:from>
    <cdr:to>
      <cdr:x>0.30012</cdr:x>
      <cdr:y>0.91657</cdr:y>
    </cdr:to>
    <cdr:sp macro="" textlink="">
      <cdr:nvSpPr>
        <cdr:cNvPr id="2" name="TextBox 1">
          <a:extLst xmlns:a="http://schemas.openxmlformats.org/drawingml/2006/main">
            <a:ext uri="{FF2B5EF4-FFF2-40B4-BE49-F238E27FC236}">
              <a16:creationId xmlns:a16="http://schemas.microsoft.com/office/drawing/2014/main" id="{767B46E2-7E26-2FC7-FF5E-3DF355AE0AB8}"/>
            </a:ext>
          </a:extLst>
        </cdr:cNvPr>
        <cdr:cNvSpPr txBox="1"/>
      </cdr:nvSpPr>
      <cdr:spPr>
        <a:xfrm xmlns:a="http://schemas.openxmlformats.org/drawingml/2006/main">
          <a:off x="66676" y="1243013"/>
          <a:ext cx="2371725" cy="2524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0.71474</cdr:x>
      <cdr:y>0.78274</cdr:y>
    </cdr:from>
    <cdr:to>
      <cdr:x>1</cdr:x>
      <cdr:y>1</cdr:y>
    </cdr:to>
    <cdr:sp macro="" textlink="">
      <cdr:nvSpPr>
        <cdr:cNvPr id="3" name="TextBox 7">
          <a:extLst xmlns:a="http://schemas.openxmlformats.org/drawingml/2006/main">
            <a:ext uri="{FF2B5EF4-FFF2-40B4-BE49-F238E27FC236}">
              <a16:creationId xmlns:a16="http://schemas.microsoft.com/office/drawing/2014/main" id="{BC9D12B5-BDCE-9EF6-F5D5-2CE6426B854F}"/>
            </a:ext>
          </a:extLst>
        </cdr:cNvPr>
        <cdr:cNvSpPr txBox="1"/>
      </cdr:nvSpPr>
      <cdr:spPr>
        <a:xfrm xmlns:a="http://schemas.openxmlformats.org/drawingml/2006/main">
          <a:off x="4248150" y="2505075"/>
          <a:ext cx="1695450" cy="69532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i="1" baseline="0">
              <a:solidFill>
                <a:schemeClr val="tx1"/>
              </a:solidFill>
              <a:latin typeface="Garamond" panose="02020404030301010803" pitchFamily="18" charset="0"/>
              <a:cs typeface="Arial" panose="020B0604020202020204" pitchFamily="34" charset="0"/>
            </a:rPr>
            <a:t>We identified 1,298 alleged disclosure deficiencies in 97 complaints disclosed in supplemental filings across the 51 sampled deals.</a:t>
          </a:r>
        </a:p>
      </cdr:txBody>
    </cdr:sp>
  </cdr:relSizeAnchor>
</c:userShapes>
</file>

<file path=word/drawings/drawing3.xml><?xml version="1.0" encoding="utf-8"?>
<c:userShapes xmlns:c="http://schemas.openxmlformats.org/drawingml/2006/chart">
  <cdr:relSizeAnchor xmlns:cdr="http://schemas.openxmlformats.org/drawingml/2006/chartDrawing">
    <cdr:from>
      <cdr:x>0.00662</cdr:x>
      <cdr:y>0.74722</cdr:y>
    </cdr:from>
    <cdr:to>
      <cdr:x>0.20151</cdr:x>
      <cdr:y>0.99657</cdr:y>
    </cdr:to>
    <cdr:sp macro="" textlink="">
      <cdr:nvSpPr>
        <cdr:cNvPr id="2" name="TextBox 7">
          <a:extLst xmlns:a="http://schemas.openxmlformats.org/drawingml/2006/main">
            <a:ext uri="{FF2B5EF4-FFF2-40B4-BE49-F238E27FC236}">
              <a16:creationId xmlns:a16="http://schemas.microsoft.com/office/drawing/2014/main" id="{BC9D12B5-BDCE-9EF6-F5D5-2CE6426B854F}"/>
            </a:ext>
          </a:extLst>
        </cdr:cNvPr>
        <cdr:cNvSpPr txBox="1"/>
      </cdr:nvSpPr>
      <cdr:spPr>
        <a:xfrm xmlns:a="http://schemas.openxmlformats.org/drawingml/2006/main">
          <a:off x="48174" y="3160058"/>
          <a:ext cx="1418235" cy="105453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en-US" sz="1000" baseline="0">
            <a:solidFill>
              <a:schemeClr val="tx1"/>
            </a:solidFill>
            <a:latin typeface="Garamond" panose="02020404030301010803" pitchFamily="18" charset="0"/>
            <a:cs typeface="Arial" panose="020B0604020202020204" pitchFamily="34" charset="0"/>
          </a:endParaRPr>
        </a:p>
      </cdr:txBody>
    </cdr:sp>
  </cdr:relSizeAnchor>
  <cdr:relSizeAnchor xmlns:cdr="http://schemas.openxmlformats.org/drawingml/2006/chartDrawing">
    <cdr:from>
      <cdr:x>0.69086</cdr:x>
      <cdr:y>0.8814</cdr:y>
    </cdr:from>
    <cdr:to>
      <cdr:x>1</cdr:x>
      <cdr:y>1</cdr:y>
    </cdr:to>
    <cdr:sp macro="" textlink="">
      <cdr:nvSpPr>
        <cdr:cNvPr id="3" name="TextBox 7">
          <a:extLst xmlns:a="http://schemas.openxmlformats.org/drawingml/2006/main">
            <a:ext uri="{FF2B5EF4-FFF2-40B4-BE49-F238E27FC236}">
              <a16:creationId xmlns:a16="http://schemas.microsoft.com/office/drawing/2014/main" id="{BC9D12B5-BDCE-9EF6-F5D5-2CE6426B854F}"/>
            </a:ext>
          </a:extLst>
        </cdr:cNvPr>
        <cdr:cNvSpPr txBox="1"/>
      </cdr:nvSpPr>
      <cdr:spPr>
        <a:xfrm xmlns:a="http://schemas.openxmlformats.org/drawingml/2006/main">
          <a:off x="4106195" y="2820833"/>
          <a:ext cx="1837405" cy="37956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i="1">
              <a:latin typeface="Garamond" panose="02020404030301010803" pitchFamily="18" charset="0"/>
            </a:rPr>
            <a:t>We identified 522 supplemental disclosures across the 51 sampled deals.</a:t>
          </a:r>
          <a:endParaRPr lang="en-US" sz="1000" i="1" baseline="0">
            <a:latin typeface="Garamond" panose="02020404030301010803"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mp;C">
      <a:majorFont>
        <a:latin typeface="Times New Roman"/>
        <a:ea typeface=""/>
        <a:cs typeface="Times New Roman"/>
      </a:majorFont>
      <a:minorFont>
        <a:latin typeface="Times New Roman"/>
        <a:ea typeface=""/>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